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EE1EA" w14:textId="77777777" w:rsidR="004613C5" w:rsidRDefault="0092413D" w:rsidP="00F66420">
      <w:pPr>
        <w:pStyle w:val="Otsikko1"/>
      </w:pPr>
      <w:r>
        <w:t xml:space="preserve">ILMOITTAMINEN </w:t>
      </w:r>
      <w:r w:rsidR="00F66420">
        <w:t>OnnettomuuDESTA tai vaaratilanTEESTA MUUNTOGEENISTEN ORGANISMIEN SULJETUSSA KÄYTÖSSÄ</w:t>
      </w:r>
      <w:r w:rsidR="00022115">
        <w:t xml:space="preserve"> </w:t>
      </w:r>
    </w:p>
    <w:p w14:paraId="0CBDA5D4" w14:textId="6E586C33" w:rsidR="00B22031" w:rsidRPr="00F2656E" w:rsidRDefault="00F2656E" w:rsidP="00F2656E">
      <w:pPr>
        <w:rPr>
          <w:b/>
        </w:rPr>
      </w:pPr>
      <w:r w:rsidRPr="00F2656E">
        <w:rPr>
          <w:b/>
        </w:rPr>
        <w:t>Geenitekniikan lautakunta</w:t>
      </w:r>
      <w:r w:rsidR="00FC625D">
        <w:rPr>
          <w:b/>
        </w:rPr>
        <w:t xml:space="preserve"> 16.9</w:t>
      </w:r>
      <w:r w:rsidR="00F66420">
        <w:rPr>
          <w:b/>
        </w:rPr>
        <w:t>.2020 (saavutettava versio)</w:t>
      </w:r>
    </w:p>
    <w:p w14:paraId="628F64FE" w14:textId="77777777" w:rsidR="00384387" w:rsidRDefault="00BE0DF5" w:rsidP="00F66420">
      <w:pPr>
        <w:spacing w:line="276" w:lineRule="auto"/>
      </w:pPr>
      <w:r>
        <w:t>Jos suljetussa käytössä tapahtuu jokin onnettomuus tai vaaratilanne</w:t>
      </w:r>
      <w:r w:rsidR="00FC2696">
        <w:t>, geenitekniikkalain (377/1995) mukaan</w:t>
      </w:r>
      <w:r w:rsidR="00F66420">
        <w:t xml:space="preserve"> toiminnanharjoittajan on toimittava seuraavalla tavalla.</w:t>
      </w:r>
    </w:p>
    <w:p w14:paraId="32226035" w14:textId="77777777" w:rsidR="00B11073" w:rsidRDefault="00384387" w:rsidP="00F66420">
      <w:pPr>
        <w:pStyle w:val="Leipteksti2"/>
        <w:numPr>
          <w:ilvl w:val="0"/>
          <w:numId w:val="5"/>
        </w:numPr>
        <w:spacing w:line="276" w:lineRule="auto"/>
      </w:pPr>
      <w:r>
        <w:t>T</w:t>
      </w:r>
      <w:r w:rsidR="00BE0DF5">
        <w:t>oiminnanharjoittajan on</w:t>
      </w:r>
      <w:r w:rsidR="00375ED4">
        <w:t xml:space="preserve"> </w:t>
      </w:r>
      <w:r w:rsidR="00B22031" w:rsidRPr="004B125B">
        <w:t>viipymättä ilmoitettava geenitekniikan lautakunnalle</w:t>
      </w:r>
      <w:r w:rsidR="00A52A19">
        <w:t>,</w:t>
      </w:r>
      <w:r w:rsidR="00B22031">
        <w:t xml:space="preserve"> jo</w:t>
      </w:r>
      <w:r w:rsidR="001D26F2">
        <w:t>s tapahtuma</w:t>
      </w:r>
      <w:r w:rsidR="00B11073">
        <w:t>:</w:t>
      </w:r>
    </w:p>
    <w:p w14:paraId="6BD1955D" w14:textId="77777777" w:rsidR="00B11073" w:rsidRDefault="00375ED4" w:rsidP="00F66420">
      <w:pPr>
        <w:pStyle w:val="Leipteksti2"/>
        <w:numPr>
          <w:ilvl w:val="1"/>
          <w:numId w:val="5"/>
        </w:numPr>
        <w:spacing w:before="240" w:after="240" w:line="276" w:lineRule="auto"/>
      </w:pPr>
      <w:r>
        <w:t>johti</w:t>
      </w:r>
      <w:r w:rsidR="00B22031">
        <w:t xml:space="preserve"> tai olisi voinut j</w:t>
      </w:r>
      <w:r w:rsidR="00F66420">
        <w:t>ohtaa muuntogeenisen organismin</w:t>
      </w:r>
      <w:r w:rsidR="00C827B7">
        <w:t xml:space="preserve"> </w:t>
      </w:r>
      <w:r w:rsidR="00F66420">
        <w:t>vapautumiseen suljetusta tilasta;</w:t>
      </w:r>
    </w:p>
    <w:p w14:paraId="625BEEE5" w14:textId="77777777" w:rsidR="00384387" w:rsidRDefault="00375ED4" w:rsidP="00F66420">
      <w:pPr>
        <w:pStyle w:val="Leipteksti2"/>
        <w:numPr>
          <w:ilvl w:val="1"/>
          <w:numId w:val="5"/>
        </w:numPr>
        <w:spacing w:after="240"/>
      </w:pPr>
      <w:r>
        <w:t>aiheutti</w:t>
      </w:r>
      <w:r w:rsidR="00B22031">
        <w:t xml:space="preserve"> tai olisi voinut aiheuttaa vaaraa ihmisen tai eläinten terveydelle tai ympäristölle</w:t>
      </w:r>
      <w:r w:rsidRPr="00F66420">
        <w:rPr>
          <w:vertAlign w:val="superscript"/>
        </w:rPr>
        <w:footnoteReference w:id="1"/>
      </w:r>
      <w:r w:rsidR="00F66420">
        <w:t>;</w:t>
      </w:r>
    </w:p>
    <w:p w14:paraId="7BE8A66C" w14:textId="77777777" w:rsidR="00B11073" w:rsidRDefault="0092413D" w:rsidP="0092413D">
      <w:pPr>
        <w:pStyle w:val="Leipteksti2"/>
        <w:numPr>
          <w:ilvl w:val="1"/>
          <w:numId w:val="5"/>
        </w:numPr>
      </w:pPr>
      <w:r>
        <w:t>toi tietoa</w:t>
      </w:r>
      <w:r w:rsidR="00F20316" w:rsidRPr="0092413D">
        <w:t xml:space="preserve"> uusi</w:t>
      </w:r>
      <w:r>
        <w:t>sta</w:t>
      </w:r>
      <w:r w:rsidR="00F20316" w:rsidRPr="0092413D">
        <w:t xml:space="preserve"> seik</w:t>
      </w:r>
      <w:r>
        <w:t>oista</w:t>
      </w:r>
      <w:r w:rsidR="00F20316" w:rsidRPr="0092413D">
        <w:t>, joilla on olennaista vaikutusta suljetun käytön riskinarviointiin</w:t>
      </w:r>
      <w:r>
        <w:t>.</w:t>
      </w:r>
      <w:r w:rsidR="00FC2696" w:rsidRPr="00F66420">
        <w:rPr>
          <w:vertAlign w:val="superscript"/>
        </w:rPr>
        <w:footnoteReference w:id="2"/>
      </w:r>
    </w:p>
    <w:p w14:paraId="27457845" w14:textId="77777777" w:rsidR="00B11073" w:rsidRDefault="00B11073" w:rsidP="004B125B">
      <w:pPr>
        <w:pStyle w:val="Leipteksti2"/>
        <w:numPr>
          <w:ilvl w:val="0"/>
          <w:numId w:val="5"/>
        </w:numPr>
        <w:spacing w:after="240" w:line="276" w:lineRule="auto"/>
      </w:pPr>
      <w:r w:rsidRPr="0092413D">
        <w:t>T</w:t>
      </w:r>
      <w:r w:rsidR="00384387" w:rsidRPr="0092413D">
        <w:t>oiminnanharjoittajan on laadittava</w:t>
      </w:r>
      <w:r w:rsidR="00384387" w:rsidRPr="004B125B">
        <w:t xml:space="preserve"> selostus tapahtuneesta sekä toimenpiteistä vastaavan onnettomuuden estämiseksi</w:t>
      </w:r>
      <w:r w:rsidRPr="004B125B">
        <w:t>:</w:t>
      </w:r>
    </w:p>
    <w:p w14:paraId="2F23AC6F" w14:textId="77777777" w:rsidR="00B11073" w:rsidRDefault="00384387" w:rsidP="004B125B">
      <w:pPr>
        <w:pStyle w:val="Leipteksti2"/>
        <w:numPr>
          <w:ilvl w:val="1"/>
          <w:numId w:val="5"/>
        </w:numPr>
        <w:spacing w:after="240" w:line="276" w:lineRule="auto"/>
      </w:pPr>
      <w:r w:rsidRPr="00B11073">
        <w:t>Kuvauksesta on käytävä ilmi</w:t>
      </w:r>
      <w:r w:rsidR="00B11073">
        <w:t xml:space="preserve"> </w:t>
      </w:r>
      <w:r w:rsidR="00B22031" w:rsidRPr="00B11073">
        <w:t>poikkeam</w:t>
      </w:r>
      <w:r w:rsidRPr="00B11073">
        <w:t>at</w:t>
      </w:r>
      <w:r w:rsidR="00B22031" w:rsidRPr="00B11073">
        <w:t xml:space="preserve"> tai vaaratilante</w:t>
      </w:r>
      <w:r w:rsidRPr="00B11073">
        <w:t>et</w:t>
      </w:r>
      <w:r w:rsidR="00B22031" w:rsidRPr="00B11073">
        <w:t xml:space="preserve">, jotka </w:t>
      </w:r>
      <w:r w:rsidR="00375ED4" w:rsidRPr="00B11073">
        <w:t>johtivat</w:t>
      </w:r>
      <w:r w:rsidR="00B22031" w:rsidRPr="00B11073">
        <w:t xml:space="preserve"> tai olisivat voineet johtaa </w:t>
      </w:r>
      <w:r w:rsidR="004B125B">
        <w:t xml:space="preserve">muuntogeenisten organismien </w:t>
      </w:r>
      <w:r w:rsidR="00B22031" w:rsidRPr="00B11073">
        <w:t>tahattomaan leviämiseen laitoksen sisällä tai pääsyyn suljetun käytön tilan ulkopuolelle</w:t>
      </w:r>
      <w:r w:rsidR="00B11073">
        <w:t>.</w:t>
      </w:r>
    </w:p>
    <w:p w14:paraId="069AEF1A" w14:textId="77777777" w:rsidR="00B11073" w:rsidRPr="00F27A3C" w:rsidRDefault="00384387" w:rsidP="00F27A3C">
      <w:pPr>
        <w:pStyle w:val="Leipteksti2"/>
        <w:numPr>
          <w:ilvl w:val="1"/>
          <w:numId w:val="5"/>
        </w:numPr>
        <w:spacing w:after="240" w:line="276" w:lineRule="auto"/>
      </w:pPr>
      <w:r w:rsidRPr="00B11073">
        <w:t xml:space="preserve">Kuvaus on liitettävä </w:t>
      </w:r>
      <w:r w:rsidR="00D8236F">
        <w:t>toiminnanharjoittajan omaan suljettua</w:t>
      </w:r>
      <w:r w:rsidRPr="00B11073">
        <w:t xml:space="preserve"> käyttöä koskevaan kirjanpitoon</w:t>
      </w:r>
      <w:r w:rsidR="004B125B">
        <w:t>.</w:t>
      </w:r>
      <w:r w:rsidRPr="00B11073">
        <w:t xml:space="preserve"> </w:t>
      </w:r>
      <w:r w:rsidR="00FC2696">
        <w:rPr>
          <w:rStyle w:val="Alaviitteenviite"/>
        </w:rPr>
        <w:footnoteReference w:id="3"/>
      </w:r>
    </w:p>
    <w:p w14:paraId="00D36495" w14:textId="77777777" w:rsidR="00650E90" w:rsidRPr="00B11073" w:rsidRDefault="00B11073" w:rsidP="00A30466">
      <w:pPr>
        <w:numPr>
          <w:ilvl w:val="0"/>
          <w:numId w:val="5"/>
        </w:numPr>
        <w:spacing w:after="240" w:line="276" w:lineRule="auto"/>
        <w:rPr>
          <w:szCs w:val="22"/>
        </w:rPr>
      </w:pPr>
      <w:r>
        <w:rPr>
          <w:szCs w:val="22"/>
        </w:rPr>
        <w:t xml:space="preserve">Toiminnanharjoittajan on </w:t>
      </w:r>
      <w:r w:rsidR="00384387" w:rsidRPr="004B125B">
        <w:rPr>
          <w:szCs w:val="22"/>
        </w:rPr>
        <w:t>ryhdyttävä tarvittaviin toimenpiteisiin vastaavan tapahtuman estämiseksi jatkossa</w:t>
      </w:r>
      <w:r w:rsidR="00650E90">
        <w:rPr>
          <w:rStyle w:val="Alaviitteenviite"/>
          <w:szCs w:val="22"/>
        </w:rPr>
        <w:footnoteReference w:id="4"/>
      </w:r>
      <w:r w:rsidR="00A30466">
        <w:rPr>
          <w:szCs w:val="22"/>
        </w:rPr>
        <w:t>:</w:t>
      </w:r>
      <w:r w:rsidR="00384387" w:rsidRPr="00B11073">
        <w:rPr>
          <w:szCs w:val="22"/>
        </w:rPr>
        <w:t xml:space="preserve"> </w:t>
      </w:r>
    </w:p>
    <w:p w14:paraId="48C65B14" w14:textId="77777777" w:rsidR="004B30D8" w:rsidRDefault="00384387" w:rsidP="00A30466">
      <w:pPr>
        <w:numPr>
          <w:ilvl w:val="1"/>
          <w:numId w:val="5"/>
        </w:numPr>
        <w:spacing w:after="240" w:line="276" w:lineRule="auto"/>
        <w:rPr>
          <w:szCs w:val="22"/>
        </w:rPr>
      </w:pPr>
      <w:r w:rsidRPr="004B30D8">
        <w:rPr>
          <w:szCs w:val="22"/>
        </w:rPr>
        <w:t>Työntekijöi</w:t>
      </w:r>
      <w:r w:rsidR="00D8236F">
        <w:rPr>
          <w:szCs w:val="22"/>
        </w:rPr>
        <w:t>lle</w:t>
      </w:r>
      <w:r w:rsidRPr="004B30D8">
        <w:rPr>
          <w:szCs w:val="22"/>
        </w:rPr>
        <w:t xml:space="preserve"> on tiedotettava tapahtuneesta onnettomuudesta/ poikkeuksellisesta tapahtumasta ja mahdollisista uusista käytännöistä. </w:t>
      </w:r>
    </w:p>
    <w:p w14:paraId="7CA0FBE2" w14:textId="77777777" w:rsidR="004B30D8" w:rsidRDefault="00822F35" w:rsidP="00A30466">
      <w:pPr>
        <w:numPr>
          <w:ilvl w:val="1"/>
          <w:numId w:val="5"/>
        </w:numPr>
        <w:spacing w:after="240" w:line="276" w:lineRule="auto"/>
        <w:rPr>
          <w:szCs w:val="22"/>
        </w:rPr>
      </w:pPr>
      <w:r w:rsidRPr="00A30466">
        <w:rPr>
          <w:szCs w:val="22"/>
        </w:rPr>
        <w:lastRenderedPageBreak/>
        <w:t>Riskinarviointia ja riskinhallintamenetelmiä koskevat muutokset on kirjattava t</w:t>
      </w:r>
      <w:r w:rsidR="00B22031" w:rsidRPr="00A30466">
        <w:rPr>
          <w:szCs w:val="22"/>
        </w:rPr>
        <w:t>oiminnanharjoittajan omaa</w:t>
      </w:r>
      <w:r w:rsidRPr="00A30466">
        <w:rPr>
          <w:szCs w:val="22"/>
        </w:rPr>
        <w:t>n</w:t>
      </w:r>
      <w:r w:rsidR="00B22031" w:rsidRPr="00A30466">
        <w:rPr>
          <w:szCs w:val="22"/>
        </w:rPr>
        <w:t xml:space="preserve"> kirjanpito</w:t>
      </w:r>
      <w:r w:rsidRPr="00A30466">
        <w:rPr>
          <w:szCs w:val="22"/>
        </w:rPr>
        <w:t>on.</w:t>
      </w:r>
      <w:r w:rsidR="004B30D8" w:rsidRPr="00A30466">
        <w:rPr>
          <w:szCs w:val="22"/>
        </w:rPr>
        <w:t xml:space="preserve"> </w:t>
      </w:r>
      <w:r w:rsidR="00A30466">
        <w:rPr>
          <w:szCs w:val="22"/>
        </w:rPr>
        <w:t>On syytä huomioida, että j</w:t>
      </w:r>
      <w:r>
        <w:rPr>
          <w:szCs w:val="22"/>
        </w:rPr>
        <w:t xml:space="preserve">os luokkaan 1 kuuluvassa käytössä ilmenee </w:t>
      </w:r>
      <w:r w:rsidR="00A30466">
        <w:rPr>
          <w:szCs w:val="22"/>
        </w:rPr>
        <w:t>muuntogeenisen organismin</w:t>
      </w:r>
      <w:r w:rsidR="00C124E4">
        <w:rPr>
          <w:szCs w:val="22"/>
        </w:rPr>
        <w:t xml:space="preserve"> aiheuttamia </w:t>
      </w:r>
      <w:r>
        <w:rPr>
          <w:szCs w:val="22"/>
        </w:rPr>
        <w:t>t</w:t>
      </w:r>
      <w:r w:rsidR="00530C95">
        <w:rPr>
          <w:szCs w:val="22"/>
        </w:rPr>
        <w:t>erveys- tai ympäristöhait</w:t>
      </w:r>
      <w:r w:rsidR="00B11073">
        <w:rPr>
          <w:szCs w:val="22"/>
        </w:rPr>
        <w:t>toja</w:t>
      </w:r>
      <w:r>
        <w:rPr>
          <w:szCs w:val="22"/>
        </w:rPr>
        <w:t>, tämä yleensä johtaa käytön luokituksen ja eristystason nostamiseen.</w:t>
      </w:r>
      <w:r w:rsidR="00530C95">
        <w:rPr>
          <w:szCs w:val="22"/>
        </w:rPr>
        <w:t xml:space="preserve"> </w:t>
      </w:r>
      <w:r>
        <w:rPr>
          <w:szCs w:val="22"/>
        </w:rPr>
        <w:t>Tällaisessa tapauksessa tarvittavasta ilmoitusmenettelystä ja toimintatavoista on sovittava geenitekniikan lautakunnan kanssa.</w:t>
      </w:r>
      <w:r w:rsidR="00530C95">
        <w:rPr>
          <w:szCs w:val="22"/>
        </w:rPr>
        <w:t xml:space="preserve"> </w:t>
      </w:r>
    </w:p>
    <w:p w14:paraId="46EC0ECD" w14:textId="77777777" w:rsidR="00650E90" w:rsidRPr="004B30D8" w:rsidRDefault="00650E90" w:rsidP="00A30466">
      <w:pPr>
        <w:numPr>
          <w:ilvl w:val="1"/>
          <w:numId w:val="5"/>
        </w:numPr>
        <w:spacing w:line="276" w:lineRule="auto"/>
        <w:rPr>
          <w:szCs w:val="22"/>
        </w:rPr>
      </w:pPr>
      <w:r w:rsidRPr="004B30D8">
        <w:rPr>
          <w:szCs w:val="22"/>
        </w:rPr>
        <w:t>Toimintasuunnitelma odottamattomien tilanteiden varalle</w:t>
      </w:r>
      <w:r w:rsidR="009F5F39">
        <w:rPr>
          <w:rStyle w:val="Alaviitteenviite"/>
          <w:szCs w:val="22"/>
        </w:rPr>
        <w:footnoteReference w:id="5"/>
      </w:r>
      <w:r w:rsidRPr="004B30D8">
        <w:rPr>
          <w:szCs w:val="22"/>
        </w:rPr>
        <w:t xml:space="preserve"> on tarvittaessa päivitettävä uusien havaintojen pohjalta. </w:t>
      </w:r>
    </w:p>
    <w:p w14:paraId="6900B87E" w14:textId="77777777" w:rsidR="00A30466" w:rsidRDefault="00A30466" w:rsidP="00A30466">
      <w:pPr>
        <w:spacing w:line="276" w:lineRule="auto"/>
      </w:pPr>
      <w:r>
        <w:t xml:space="preserve">Geenitekniikan lautakunnalle </w:t>
      </w:r>
      <w:r w:rsidR="00822F35" w:rsidRPr="00A30466">
        <w:t>ei tarvitse ilmoittaa tavanomaisista tapaturmista</w:t>
      </w:r>
      <w:r>
        <w:t xml:space="preserve"> luokan 1 toiminnassa. Tällaisia ovat esimerkiksi</w:t>
      </w:r>
      <w:r w:rsidR="00A52A19" w:rsidRPr="00A30466">
        <w:t xml:space="preserve"> </w:t>
      </w:r>
      <w:r w:rsidR="004B30D8" w:rsidRPr="00A30466">
        <w:t>kasvatuspullon rikkoutu</w:t>
      </w:r>
      <w:r w:rsidR="00822F35" w:rsidRPr="00A30466">
        <w:t>minen</w:t>
      </w:r>
      <w:r w:rsidR="00A52A19" w:rsidRPr="00A30466">
        <w:t xml:space="preserve">, </w:t>
      </w:r>
      <w:r w:rsidR="004B30D8" w:rsidRPr="00A30466">
        <w:t>pisto- ja viiltohaav</w:t>
      </w:r>
      <w:r w:rsidR="00822F35" w:rsidRPr="00A30466">
        <w:t>at</w:t>
      </w:r>
      <w:r w:rsidR="00A52A19" w:rsidRPr="00A30466">
        <w:t xml:space="preserve"> tai </w:t>
      </w:r>
      <w:r w:rsidR="004B30D8" w:rsidRPr="00A30466">
        <w:t>silmätapaturm</w:t>
      </w:r>
      <w:r>
        <w:t>at. Edellytyksenä on kuitenkin</w:t>
      </w:r>
      <w:r w:rsidR="00A52A19" w:rsidRPr="00A30466">
        <w:t>, ett</w:t>
      </w:r>
      <w:r w:rsidR="00822F35" w:rsidRPr="00A30466">
        <w:t>ä</w:t>
      </w:r>
      <w:r w:rsidR="00A52A19" w:rsidRPr="00A30466">
        <w:t xml:space="preserve"> </w:t>
      </w:r>
      <w:r>
        <w:t>muuntogeenisiä organismeja</w:t>
      </w:r>
      <w:r w:rsidR="00A52A19" w:rsidRPr="00A30466">
        <w:t xml:space="preserve"> ei ole </w:t>
      </w:r>
      <w:r>
        <w:t xml:space="preserve">tapaturman seurauksena </w:t>
      </w:r>
      <w:r w:rsidR="00A52A19" w:rsidRPr="00A30466">
        <w:t xml:space="preserve">päässyt </w:t>
      </w:r>
      <w:r w:rsidR="00C124E4" w:rsidRPr="00A30466">
        <w:t>suljetun käytön tilojen ulkopuolelle</w:t>
      </w:r>
      <w:r w:rsidR="00A52A19" w:rsidRPr="00A30466">
        <w:t xml:space="preserve"> eikä odottamattomia terveysvaikutuksia</w:t>
      </w:r>
      <w:r w:rsidR="00822F35" w:rsidRPr="00A30466">
        <w:t xml:space="preserve"> ilmene</w:t>
      </w:r>
      <w:r w:rsidR="00A52A19" w:rsidRPr="00A30466">
        <w:t xml:space="preserve">. </w:t>
      </w:r>
    </w:p>
    <w:p w14:paraId="5BB2BACC" w14:textId="77777777" w:rsidR="00A52A19" w:rsidRPr="00A30466" w:rsidRDefault="00822F35" w:rsidP="00A30466">
      <w:pPr>
        <w:spacing w:line="276" w:lineRule="auto"/>
      </w:pPr>
      <w:r w:rsidRPr="00A30466">
        <w:t>T</w:t>
      </w:r>
      <w:r w:rsidR="00A52A19" w:rsidRPr="00A30466">
        <w:t>oiminnanharjoittaja</w:t>
      </w:r>
      <w:r w:rsidR="00C124E4" w:rsidRPr="00A30466">
        <w:t>n</w:t>
      </w:r>
      <w:r w:rsidRPr="00A30466">
        <w:t xml:space="preserve"> on </w:t>
      </w:r>
      <w:r w:rsidR="00A30466">
        <w:t>aina kirjattava tällaiset</w:t>
      </w:r>
      <w:r w:rsidR="00647B00">
        <w:t>kin</w:t>
      </w:r>
      <w:r w:rsidRPr="00A30466">
        <w:t xml:space="preserve"> </w:t>
      </w:r>
      <w:r w:rsidR="00A30466">
        <w:t xml:space="preserve">tapahtumat omaan suljetun käytön </w:t>
      </w:r>
      <w:r w:rsidR="00A52A19" w:rsidRPr="00A30466">
        <w:t xml:space="preserve">kirjanpitoonsa. </w:t>
      </w:r>
      <w:r w:rsidR="00C124E4" w:rsidRPr="00A30466">
        <w:t>Toiminnanharjoittajan</w:t>
      </w:r>
      <w:r w:rsidR="00F20316" w:rsidRPr="00A30466">
        <w:t xml:space="preserve"> </w:t>
      </w:r>
      <w:r w:rsidR="00A52A19" w:rsidRPr="00A30466">
        <w:t>on</w:t>
      </w:r>
      <w:r w:rsidR="00C124E4" w:rsidRPr="00A30466">
        <w:t xml:space="preserve"> lisäksi</w:t>
      </w:r>
      <w:r w:rsidR="00A52A19" w:rsidRPr="00A30466">
        <w:t xml:space="preserve"> </w:t>
      </w:r>
      <w:r w:rsidR="00C124E4" w:rsidRPr="00A30466">
        <w:t>huomioitava</w:t>
      </w:r>
      <w:r w:rsidR="00A52A19" w:rsidRPr="00A30466">
        <w:t xml:space="preserve"> työtapaturmia koskeva</w:t>
      </w:r>
      <w:r w:rsidR="00C124E4" w:rsidRPr="00A30466">
        <w:t>t</w:t>
      </w:r>
      <w:r w:rsidR="00A52A19" w:rsidRPr="00A30466">
        <w:t xml:space="preserve"> </w:t>
      </w:r>
      <w:r w:rsidR="00C124E4" w:rsidRPr="00A30466">
        <w:t>työsuojelu</w:t>
      </w:r>
      <w:r w:rsidR="00A52A19" w:rsidRPr="00A30466">
        <w:t>säädöks</w:t>
      </w:r>
      <w:r w:rsidR="00C124E4" w:rsidRPr="00A30466">
        <w:t>et</w:t>
      </w:r>
      <w:r w:rsidR="00A52A19" w:rsidRPr="00A30466">
        <w:t xml:space="preserve">. </w:t>
      </w:r>
    </w:p>
    <w:p w14:paraId="72B51C11" w14:textId="77777777" w:rsidR="00B22031" w:rsidRPr="00647B00" w:rsidRDefault="00B22031" w:rsidP="00647B00">
      <w:pPr>
        <w:spacing w:line="276" w:lineRule="auto"/>
      </w:pPr>
      <w:r w:rsidRPr="00A30466">
        <w:t>Oheista lomaketta voidaan käyttää</w:t>
      </w:r>
      <w:r w:rsidR="00C827B7" w:rsidRPr="00A30466">
        <w:t xml:space="preserve">, kun </w:t>
      </w:r>
      <w:r w:rsidR="00647B00">
        <w:t>suljetussa käytössä</w:t>
      </w:r>
      <w:r w:rsidRPr="00A30466">
        <w:t xml:space="preserve"> tapahtuneesta onnettomuudesta </w:t>
      </w:r>
      <w:r w:rsidR="00C124E4" w:rsidRPr="00A30466">
        <w:t>ilmoitetaan</w:t>
      </w:r>
      <w:r w:rsidR="00C827B7" w:rsidRPr="00A30466">
        <w:t xml:space="preserve"> </w:t>
      </w:r>
      <w:r w:rsidR="00647B00">
        <w:t>geenitekniikan lautakunnalle</w:t>
      </w:r>
      <w:r w:rsidR="00C124E4" w:rsidRPr="00A30466">
        <w:t>.</w:t>
      </w:r>
      <w:r w:rsidR="00530C95">
        <w:br w:type="page"/>
      </w:r>
    </w:p>
    <w:p w14:paraId="2902B0F6" w14:textId="77777777" w:rsidR="00B22031" w:rsidRDefault="00B22031" w:rsidP="00647B00">
      <w:pPr>
        <w:pStyle w:val="Otsikko1"/>
      </w:pPr>
      <w:r>
        <w:lastRenderedPageBreak/>
        <w:t xml:space="preserve">KUVAUS/TIEDONANTO ONNETTOMUUDESTA TAI VAARATILANTEESTA, JOKA LIITTYY </w:t>
      </w:r>
      <w:r w:rsidR="00647B00">
        <w:t>MUUNTOGEENISTEN OR</w:t>
      </w:r>
      <w:r>
        <w:t>G</w:t>
      </w:r>
      <w:r w:rsidR="00647B00">
        <w:t>ANISMIEN</w:t>
      </w:r>
      <w:r w:rsidR="00C124E4">
        <w:t xml:space="preserve"> SULJETTUUN KÄYTTÖÖN</w:t>
      </w:r>
    </w:p>
    <w:p w14:paraId="674B9FB6" w14:textId="77777777" w:rsidR="00B73A4E" w:rsidRDefault="00B73A4E" w:rsidP="00B73A4E">
      <w:pPr>
        <w:rPr>
          <w:b/>
        </w:rPr>
      </w:pPr>
      <w:proofErr w:type="spellStart"/>
      <w:r w:rsidRPr="003F460A">
        <w:rPr>
          <w:b/>
        </w:rPr>
        <w:t>Huom</w:t>
      </w:r>
      <w:proofErr w:type="spellEnd"/>
      <w:r w:rsidRPr="003F460A">
        <w:rPr>
          <w:b/>
        </w:rPr>
        <w:t>! Mahdolliset luottamukselliset tiedot pyydetään toimittamaan erillisellä liitteellä</w:t>
      </w:r>
      <w:r>
        <w:rPr>
          <w:b/>
        </w:rPr>
        <w:t>, joka on selkeästi merkitty</w:t>
      </w:r>
      <w:r w:rsidRPr="003F460A">
        <w:rPr>
          <w:b/>
        </w:rPr>
        <w:t>.</w:t>
      </w:r>
    </w:p>
    <w:p w14:paraId="5B3AFADB" w14:textId="77777777" w:rsidR="00D539B3" w:rsidRDefault="00D539B3" w:rsidP="005241CD">
      <w:pPr>
        <w:pStyle w:val="Luettelokappale"/>
        <w:numPr>
          <w:ilvl w:val="0"/>
          <w:numId w:val="6"/>
        </w:numPr>
        <w:spacing w:after="240"/>
      </w:pPr>
      <w:r>
        <w:t>Toiminnanharjoittajan nimi (</w:t>
      </w:r>
      <w:r w:rsidR="00D42034">
        <w:t xml:space="preserve">jolla </w:t>
      </w:r>
      <w:r>
        <w:t>kyseessä oleva suljetun käytön ilmoitu</w:t>
      </w:r>
      <w:r w:rsidR="00D42034">
        <w:t>s on kirjattu</w:t>
      </w:r>
      <w:r>
        <w:t xml:space="preserve"> geenitekniikan rekisteri</w:t>
      </w:r>
      <w:r w:rsidR="00D42034">
        <w:t>in</w:t>
      </w:r>
      <w:r>
        <w:t>)</w:t>
      </w:r>
    </w:p>
    <w:p w14:paraId="167ABD2B" w14:textId="393BB092" w:rsidR="00132AE8" w:rsidRPr="006C74AC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0" w:name="Teksti7"/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bookmarkStart w:id="1" w:name="_GoBack"/>
      <w:bookmarkEnd w:id="1"/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  <w:bookmarkEnd w:id="0"/>
      <w:r w:rsidR="00780D91">
        <w:rPr>
          <w:rFonts w:cs="Arial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2" w:name="Teksti8"/>
      <w:r w:rsidR="00780D91">
        <w:rPr>
          <w:rFonts w:cs="Arial"/>
        </w:rPr>
        <w:instrText xml:space="preserve"> FORMTEXT </w:instrText>
      </w:r>
      <w:r w:rsidR="00780D91">
        <w:rPr>
          <w:rFonts w:cs="Arial"/>
        </w:rPr>
      </w:r>
      <w:r w:rsidR="00780D91">
        <w:rPr>
          <w:rFonts w:cs="Arial"/>
        </w:rPr>
        <w:fldChar w:fldCharType="separate"/>
      </w:r>
      <w:r w:rsidR="00780D91">
        <w:rPr>
          <w:rFonts w:cs="Arial"/>
          <w:noProof/>
        </w:rPr>
        <w:t> </w:t>
      </w:r>
      <w:r w:rsidR="00780D91">
        <w:rPr>
          <w:rFonts w:cs="Arial"/>
          <w:noProof/>
        </w:rPr>
        <w:t> </w:t>
      </w:r>
      <w:r w:rsidR="00780D91">
        <w:rPr>
          <w:rFonts w:cs="Arial"/>
          <w:noProof/>
        </w:rPr>
        <w:t> </w:t>
      </w:r>
      <w:r w:rsidR="00780D91">
        <w:rPr>
          <w:rFonts w:cs="Arial"/>
          <w:noProof/>
        </w:rPr>
        <w:t> </w:t>
      </w:r>
      <w:r w:rsidR="00780D91">
        <w:rPr>
          <w:rFonts w:cs="Arial"/>
          <w:noProof/>
        </w:rPr>
        <w:t> </w:t>
      </w:r>
      <w:r w:rsidR="00780D91">
        <w:rPr>
          <w:rFonts w:cs="Arial"/>
        </w:rPr>
        <w:fldChar w:fldCharType="end"/>
      </w:r>
      <w:bookmarkEnd w:id="2"/>
    </w:p>
    <w:p w14:paraId="7828935B" w14:textId="77777777" w:rsidR="00D539B3" w:rsidRDefault="00D539B3" w:rsidP="005241CD">
      <w:pPr>
        <w:pStyle w:val="Luettelokappale"/>
        <w:numPr>
          <w:ilvl w:val="0"/>
          <w:numId w:val="6"/>
        </w:numPr>
        <w:spacing w:after="240"/>
      </w:pPr>
      <w:r>
        <w:t>Suljetun käytön ilmoitus (diaarinumero), jonka piirissä onnettomuuteen johtanut käyttö tapahtui</w:t>
      </w:r>
    </w:p>
    <w:p w14:paraId="47AA0312" w14:textId="558689CF" w:rsidR="005241CD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6044960A" w14:textId="2561BCD7" w:rsidR="00D539B3" w:rsidRDefault="00D539B3" w:rsidP="005241CD">
      <w:pPr>
        <w:pStyle w:val="Luettelokappale"/>
        <w:numPr>
          <w:ilvl w:val="0"/>
          <w:numId w:val="6"/>
        </w:numPr>
        <w:spacing w:after="240"/>
      </w:pPr>
      <w:r>
        <w:t>Tapahtuma-ai</w:t>
      </w:r>
      <w:r w:rsidR="00DA289F">
        <w:t>ka (päivämäärä ja kellonaika)</w:t>
      </w:r>
    </w:p>
    <w:p w14:paraId="31965A80" w14:textId="625561F9" w:rsidR="00132AE8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35C0D07F" w14:textId="77777777" w:rsidR="00D539B3" w:rsidRDefault="00D539B3" w:rsidP="005241CD">
      <w:pPr>
        <w:pStyle w:val="Luettelokappale"/>
        <w:numPr>
          <w:ilvl w:val="0"/>
          <w:numId w:val="6"/>
        </w:numPr>
        <w:spacing w:after="240"/>
      </w:pPr>
      <w:r>
        <w:t>Tapahtumapaikka (</w:t>
      </w:r>
      <w:r w:rsidR="00DA289F">
        <w:t>katuosoite, rakennus, huoneen numero)</w:t>
      </w:r>
    </w:p>
    <w:p w14:paraId="410B7067" w14:textId="033C523D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6EE3F835" w14:textId="77777777" w:rsidR="00D539B3" w:rsidRDefault="00D539B3" w:rsidP="005241CD">
      <w:pPr>
        <w:pStyle w:val="Luettelokappale"/>
        <w:numPr>
          <w:ilvl w:val="0"/>
          <w:numId w:val="6"/>
        </w:numPr>
        <w:spacing w:after="240"/>
      </w:pPr>
      <w:r>
        <w:t>Tilan eristystas</w:t>
      </w:r>
      <w:r w:rsidR="00DA289F">
        <w:t>o (geenitekniikkalain mukainen)</w:t>
      </w:r>
    </w:p>
    <w:p w14:paraId="3AB5EC76" w14:textId="235AE988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703D3139" w14:textId="77777777" w:rsidR="00D539B3" w:rsidRDefault="00D539B3" w:rsidP="005241CD">
      <w:pPr>
        <w:pStyle w:val="Luettelokappale"/>
        <w:numPr>
          <w:ilvl w:val="0"/>
          <w:numId w:val="6"/>
        </w:numPr>
        <w:spacing w:after="240"/>
      </w:pPr>
      <w:r>
        <w:t xml:space="preserve">Vaaratilanteessa tai onnettomuushetkellä käytössä olleet </w:t>
      </w:r>
      <w:proofErr w:type="spellStart"/>
      <w:r w:rsidR="00DA289F">
        <w:t>eristämis</w:t>
      </w:r>
      <w:proofErr w:type="spellEnd"/>
      <w:r w:rsidR="00DA289F">
        <w:t>- ja suojatoimenpiteet</w:t>
      </w:r>
    </w:p>
    <w:p w14:paraId="7696470C" w14:textId="4E567181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7E309490" w14:textId="77777777" w:rsidR="00D539B3" w:rsidRDefault="00DA289F" w:rsidP="005241CD">
      <w:pPr>
        <w:pStyle w:val="Luettelokappale"/>
        <w:numPr>
          <w:ilvl w:val="0"/>
          <w:numId w:val="6"/>
        </w:numPr>
        <w:spacing w:after="240"/>
      </w:pPr>
      <w:r>
        <w:t xml:space="preserve">Muuntogeeninen </w:t>
      </w:r>
      <w:r w:rsidR="00D539B3">
        <w:t>organismi (vastaanottajao</w:t>
      </w:r>
      <w:r>
        <w:t>rganismi, geenitekninen muutos)</w:t>
      </w:r>
    </w:p>
    <w:p w14:paraId="28C0463C" w14:textId="6725A42B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73533141" w14:textId="77777777" w:rsidR="00D539B3" w:rsidRDefault="00DA289F" w:rsidP="005241CD">
      <w:pPr>
        <w:pStyle w:val="Luettelokappale"/>
        <w:numPr>
          <w:ilvl w:val="0"/>
          <w:numId w:val="6"/>
        </w:numPr>
        <w:spacing w:after="240"/>
      </w:pPr>
      <w:r>
        <w:t>K</w:t>
      </w:r>
      <w:r w:rsidR="00D539B3">
        <w:t>äytön luokka (toiminnanharjoittajan riskinarvioinnin perusteella päättämä käytön luokka; luokan määräytymisen ka</w:t>
      </w:r>
      <w:r>
        <w:t>nnalta merkitykselliset seikat)</w:t>
      </w:r>
    </w:p>
    <w:p w14:paraId="59957310" w14:textId="0992DAB0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lastRenderedPageBreak/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556C0EBE" w14:textId="77777777" w:rsidR="00D539B3" w:rsidRDefault="00DA289F" w:rsidP="005241CD">
      <w:pPr>
        <w:pStyle w:val="Luettelokappale"/>
        <w:numPr>
          <w:ilvl w:val="0"/>
          <w:numId w:val="6"/>
        </w:numPr>
        <w:spacing w:after="240"/>
      </w:pPr>
      <w:r>
        <w:t>Tapahtuman kuvaus</w:t>
      </w:r>
    </w:p>
    <w:p w14:paraId="2D7E7860" w14:textId="01971EF3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67DCBD2F" w14:textId="77777777" w:rsidR="00D539B3" w:rsidRDefault="00D539B3" w:rsidP="005241CD">
      <w:pPr>
        <w:pStyle w:val="Luettelokappale"/>
        <w:numPr>
          <w:ilvl w:val="0"/>
          <w:numId w:val="6"/>
        </w:numPr>
        <w:spacing w:after="240"/>
      </w:pPr>
      <w:r>
        <w:t>Toimenpiteet onnettomuuspaikalla (altistuneiden hoito, kontaminoituneen alueen puhdistus ja desinfiointi, G</w:t>
      </w:r>
      <w:r w:rsidR="00DA289F">
        <w:t xml:space="preserve">MO-materiaalin käsittely ja </w:t>
      </w:r>
      <w:r>
        <w:t>kuljetus jne.</w:t>
      </w:r>
      <w:r w:rsidR="005241CD">
        <w:t>)</w:t>
      </w:r>
    </w:p>
    <w:p w14:paraId="1A52AAC3" w14:textId="4D5459C2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706DC9E3" w14:textId="77777777" w:rsidR="00D539B3" w:rsidRDefault="00DA289F" w:rsidP="005241CD">
      <w:pPr>
        <w:pStyle w:val="Luettelokappale"/>
        <w:numPr>
          <w:ilvl w:val="0"/>
          <w:numId w:val="6"/>
        </w:numPr>
        <w:spacing w:after="240"/>
      </w:pPr>
      <w:r>
        <w:t xml:space="preserve">Altistuksen laajuus (muuntogeeniselle </w:t>
      </w:r>
      <w:r w:rsidR="00D539B3">
        <w:t>organis</w:t>
      </w:r>
      <w:r>
        <w:t xml:space="preserve">mille altistuneiden henkilöiden tai </w:t>
      </w:r>
      <w:r w:rsidR="00D539B3">
        <w:t>eläinten lukumäärä tai a</w:t>
      </w:r>
      <w:r w:rsidR="00706788">
        <w:t>ltistuneen ympäristön laajuus</w:t>
      </w:r>
      <w:r w:rsidR="005241CD">
        <w:t>)</w:t>
      </w:r>
    </w:p>
    <w:p w14:paraId="3EE6FB82" w14:textId="7F7F0148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3E4B6F63" w14:textId="77777777" w:rsidR="00D539B3" w:rsidRDefault="00D539B3" w:rsidP="005241CD">
      <w:pPr>
        <w:pStyle w:val="Luettelokappale"/>
        <w:numPr>
          <w:ilvl w:val="0"/>
          <w:numId w:val="6"/>
        </w:numPr>
        <w:spacing w:after="240"/>
      </w:pPr>
      <w:r>
        <w:t>Onko altistunei</w:t>
      </w:r>
      <w:r w:rsidR="005241CD">
        <w:t>lle</w:t>
      </w:r>
      <w:r>
        <w:t xml:space="preserve"> tehty lääkärintarkastus tai onko tapahtuma</w:t>
      </w:r>
      <w:r w:rsidR="005241CD">
        <w:t>n johdosta tehty muu tarkastus?</w:t>
      </w:r>
    </w:p>
    <w:p w14:paraId="6EFCF58A" w14:textId="1A6F5F3D" w:rsidR="005241CD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7964A165" w14:textId="77777777" w:rsidR="00D539B3" w:rsidRDefault="00D539B3" w:rsidP="005241CD">
      <w:pPr>
        <w:pStyle w:val="Luettelokappale"/>
        <w:numPr>
          <w:ilvl w:val="0"/>
          <w:numId w:val="6"/>
        </w:numPr>
        <w:spacing w:after="240"/>
      </w:pPr>
      <w:r>
        <w:t xml:space="preserve">Havaitut oireet /seuraukset ja niiden hoito tai korjaavat toimenpiteet (myös esim. 0-seerumi- tai </w:t>
      </w:r>
      <w:r w:rsidR="005241CD">
        <w:t>muut asiaan liittyvät näytteet)</w:t>
      </w:r>
    </w:p>
    <w:p w14:paraId="2490A00C" w14:textId="2C6223A2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5B58A5AE" w14:textId="77777777" w:rsidR="00D539B3" w:rsidRDefault="00D539B3" w:rsidP="005241CD">
      <w:pPr>
        <w:pStyle w:val="Luettelokappale"/>
        <w:numPr>
          <w:ilvl w:val="0"/>
          <w:numId w:val="6"/>
        </w:numPr>
      </w:pPr>
      <w:r>
        <w:t>Kuvaus odottamattomista</w:t>
      </w:r>
      <w:r w:rsidR="005241CD">
        <w:t xml:space="preserve"> seurauksista</w:t>
      </w:r>
    </w:p>
    <w:p w14:paraId="72D8DC53" w14:textId="5B36FAB4" w:rsidR="00F27A3C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2269FAAC" w14:textId="77777777" w:rsidR="00B22031" w:rsidRPr="00AC0366" w:rsidRDefault="00B22031" w:rsidP="00AC0366">
      <w:pPr>
        <w:pStyle w:val="Otsikko2"/>
      </w:pPr>
      <w:r w:rsidRPr="00AC0366">
        <w:t xml:space="preserve">TOIMENPITEET </w:t>
      </w:r>
      <w:r w:rsidR="00B73A4E" w:rsidRPr="00AC0366">
        <w:t>VASTAAVAN TAPAHTUMAN</w:t>
      </w:r>
      <w:r w:rsidRPr="00AC0366">
        <w:t xml:space="preserve"> ESTÄMISEKSI JATKOSSA</w:t>
      </w:r>
    </w:p>
    <w:p w14:paraId="56C2650F" w14:textId="77777777" w:rsidR="00B73A4E" w:rsidRDefault="00B73A4E" w:rsidP="00AC0366">
      <w:pPr>
        <w:pStyle w:val="Luettelokappale"/>
        <w:numPr>
          <w:ilvl w:val="0"/>
          <w:numId w:val="6"/>
        </w:numPr>
        <w:spacing w:before="240" w:after="240"/>
      </w:pPr>
      <w:r>
        <w:t>Onnettomuuteen tai vaa</w:t>
      </w:r>
      <w:r w:rsidR="00AC0366">
        <w:t>ratilanteeseen johtaneet seikat</w:t>
      </w:r>
    </w:p>
    <w:p w14:paraId="7AABE2B6" w14:textId="2B3526A1" w:rsidR="00AC0366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2F256065" w14:textId="77777777" w:rsidR="00B73A4E" w:rsidRDefault="00B73A4E" w:rsidP="00AC0366">
      <w:pPr>
        <w:pStyle w:val="Luettelokappale"/>
        <w:numPr>
          <w:ilvl w:val="0"/>
          <w:numId w:val="6"/>
        </w:numPr>
        <w:spacing w:after="240"/>
      </w:pPr>
      <w:r>
        <w:t>Onko vastaavaa onnettomuutta tai vaaratilannetta sattunut aikaisemmin?</w:t>
      </w:r>
    </w:p>
    <w:p w14:paraId="47EFDB55" w14:textId="728A4C1E" w:rsidR="00AC0366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lastRenderedPageBreak/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57BE2125" w14:textId="77777777" w:rsidR="00B73A4E" w:rsidRDefault="00B73A4E" w:rsidP="00AC0366">
      <w:pPr>
        <w:pStyle w:val="Luettelokappale"/>
        <w:numPr>
          <w:ilvl w:val="0"/>
          <w:numId w:val="6"/>
        </w:numPr>
        <w:spacing w:after="240"/>
      </w:pPr>
      <w:r>
        <w:t>Toimenpiteet, joihin on ryhdytty vastaavan onnettomuuden tai vaar</w:t>
      </w:r>
      <w:r w:rsidR="00AC0366">
        <w:t>atilanteen estämiseksi jatkossa</w:t>
      </w:r>
    </w:p>
    <w:p w14:paraId="340A7D68" w14:textId="5D2EE74D" w:rsidR="00AC0366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1179C704" w14:textId="77777777" w:rsidR="0071590B" w:rsidRDefault="00AC0366" w:rsidP="00FE4678">
      <w:pPr>
        <w:pStyle w:val="Luettelokappale"/>
        <w:numPr>
          <w:ilvl w:val="0"/>
          <w:numId w:val="6"/>
        </w:numPr>
        <w:spacing w:before="0" w:after="240" w:line="240" w:lineRule="auto"/>
      </w:pPr>
      <w:r>
        <w:t>Uudesta toimintamallista tiedottaminen henkilökunnalle (tapa ja ajankohta)</w:t>
      </w:r>
    </w:p>
    <w:p w14:paraId="07D49BD4" w14:textId="3851A4A7" w:rsidR="00B73A4E" w:rsidRPr="00132AE8" w:rsidRDefault="00132AE8" w:rsidP="00132AE8">
      <w:pPr>
        <w:spacing w:after="240" w:line="276" w:lineRule="auto"/>
        <w:ind w:left="360"/>
        <w:rPr>
          <w:rFonts w:cs="Arial"/>
        </w:rPr>
      </w:pPr>
      <w:r w:rsidRPr="006C74AC">
        <w:rPr>
          <w:rFonts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6C74AC">
        <w:rPr>
          <w:rFonts w:cs="Arial"/>
        </w:rPr>
        <w:instrText xml:space="preserve"> FORMTEXT </w:instrText>
      </w:r>
      <w:r w:rsidRPr="006C74AC">
        <w:rPr>
          <w:rFonts w:cs="Arial"/>
        </w:rPr>
      </w:r>
      <w:r w:rsidRPr="006C74AC">
        <w:rPr>
          <w:rFonts w:cs="Arial"/>
        </w:rPr>
        <w:fldChar w:fldCharType="separate"/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  <w:noProof/>
        </w:rPr>
        <w:t> </w:t>
      </w:r>
      <w:r w:rsidRPr="006C74AC">
        <w:rPr>
          <w:rFonts w:cs="Arial"/>
        </w:rPr>
        <w:fldChar w:fldCharType="end"/>
      </w:r>
    </w:p>
    <w:p w14:paraId="026AD069" w14:textId="77777777" w:rsidR="00B73A4E" w:rsidRDefault="00B73A4E" w:rsidP="003F460A">
      <w:pPr>
        <w:pStyle w:val="Leipteksti"/>
        <w:rPr>
          <w:bCs w:val="0"/>
        </w:rPr>
      </w:pPr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45E9E">
        <w:fldChar w:fldCharType="separate"/>
      </w:r>
      <w:r>
        <w:fldChar w:fldCharType="end"/>
      </w:r>
      <w:r>
        <w:t xml:space="preserve"> </w:t>
      </w:r>
      <w:r w:rsidRPr="00AC0366">
        <w:rPr>
          <w:bCs w:val="0"/>
        </w:rPr>
        <w:t>Kuvaus liitetty GMO-kirjanpitoon</w:t>
      </w:r>
    </w:p>
    <w:p w14:paraId="56CA0F0E" w14:textId="77777777" w:rsidR="00B73A4E" w:rsidRDefault="00B73A4E" w:rsidP="0076120C">
      <w:pPr>
        <w:pStyle w:val="Leipteksti"/>
      </w:pPr>
      <w: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45E9E">
        <w:fldChar w:fldCharType="separate"/>
      </w:r>
      <w:r>
        <w:fldChar w:fldCharType="end"/>
      </w:r>
      <w:r>
        <w:t xml:space="preserve"> </w:t>
      </w:r>
      <w:r w:rsidRPr="00AC0366">
        <w:rPr>
          <w:bCs w:val="0"/>
        </w:rPr>
        <w:t>Kuvaus toimitettu geenitekniikan lautakunnalle</w:t>
      </w:r>
    </w:p>
    <w:p w14:paraId="20B06DCC" w14:textId="77777777" w:rsidR="0076120C" w:rsidRDefault="0076120C" w:rsidP="0076120C">
      <w:pPr>
        <w:pStyle w:val="Leipteksti"/>
        <w:spacing w:after="0"/>
      </w:pPr>
    </w:p>
    <w:p w14:paraId="267CC230" w14:textId="1B3285BB" w:rsidR="00132AE8" w:rsidRPr="00132AE8" w:rsidRDefault="00AC0366" w:rsidP="00132AE8">
      <w:r>
        <w:t>Päivämäärä:</w:t>
      </w:r>
      <w:r w:rsidR="00132AE8" w:rsidRPr="00132AE8">
        <w:rPr>
          <w:rFonts w:cs="Arial"/>
          <w:sz w:val="24"/>
          <w:szCs w:val="20"/>
        </w:rPr>
        <w:t xml:space="preserve"> </w:t>
      </w:r>
      <w:r w:rsidR="00132AE8" w:rsidRPr="00132AE8">
        <w:fldChar w:fldCharType="begin">
          <w:ffData>
            <w:name w:val="Teksti7"/>
            <w:enabled/>
            <w:calcOnExit w:val="0"/>
            <w:textInput/>
          </w:ffData>
        </w:fldChar>
      </w:r>
      <w:r w:rsidR="00132AE8" w:rsidRPr="00132AE8">
        <w:instrText xml:space="preserve"> FORMTEXT </w:instrText>
      </w:r>
      <w:r w:rsidR="00132AE8" w:rsidRPr="00132AE8">
        <w:fldChar w:fldCharType="separate"/>
      </w:r>
      <w:r w:rsidR="00132AE8" w:rsidRPr="00132AE8">
        <w:t> </w:t>
      </w:r>
      <w:r w:rsidR="00132AE8" w:rsidRPr="00132AE8">
        <w:t> </w:t>
      </w:r>
      <w:r w:rsidR="00132AE8" w:rsidRPr="00132AE8">
        <w:t> </w:t>
      </w:r>
      <w:r w:rsidR="00132AE8" w:rsidRPr="00132AE8">
        <w:t> </w:t>
      </w:r>
      <w:r w:rsidR="00132AE8" w:rsidRPr="00132AE8">
        <w:t> </w:t>
      </w:r>
      <w:r w:rsidR="00132AE8" w:rsidRPr="00132AE8">
        <w:fldChar w:fldCharType="end"/>
      </w:r>
    </w:p>
    <w:p w14:paraId="26BB73C6" w14:textId="658417F6" w:rsidR="00AC0366" w:rsidRDefault="00AC0366"/>
    <w:p w14:paraId="17982F48" w14:textId="77777777" w:rsidR="00132AE8" w:rsidRDefault="00132AE8"/>
    <w:p w14:paraId="005542F5" w14:textId="139D59B0" w:rsidR="0092413D" w:rsidRDefault="00B22031">
      <w:r>
        <w:t>Allekirjoitus</w:t>
      </w:r>
      <w:r w:rsidR="00AC0366">
        <w:t xml:space="preserve"> ja n</w:t>
      </w:r>
      <w:r>
        <w:t>imen selvennys</w:t>
      </w:r>
      <w:r w:rsidR="00AC0366">
        <w:t>, a</w:t>
      </w:r>
      <w:r>
        <w:t>sema organisaatiossa</w:t>
      </w:r>
    </w:p>
    <w:p w14:paraId="168676F4" w14:textId="44F95508" w:rsidR="0078762B" w:rsidRDefault="0078762B" w:rsidP="0078762B">
      <w:pPr>
        <w:spacing w:before="360"/>
      </w:pPr>
      <w:r>
        <w:t>Täytetty lomake toimitetaan geenitekniikan lautakunnalle sähköpostitse (</w:t>
      </w:r>
      <w:hyperlink r:id="rId8" w:history="1">
        <w:r w:rsidRPr="00843553">
          <w:rPr>
            <w:rStyle w:val="Hyperlinkki"/>
          </w:rPr>
          <w:t>gtlk.stm@stm.fi</w:t>
        </w:r>
      </w:hyperlink>
      <w:r>
        <w:t>) tai kirjeitse osoitteeseen:</w:t>
      </w:r>
    </w:p>
    <w:p w14:paraId="4A2DFE9F" w14:textId="77777777" w:rsidR="0078762B" w:rsidRDefault="0078762B" w:rsidP="0078762B">
      <w:pPr>
        <w:spacing w:line="240" w:lineRule="auto"/>
      </w:pPr>
      <w:r w:rsidRPr="0078762B">
        <w:t>Geenitekniikan lautakunta</w:t>
      </w:r>
    </w:p>
    <w:p w14:paraId="6651C5C0" w14:textId="6FB9E909" w:rsidR="0078762B" w:rsidRPr="0078762B" w:rsidRDefault="0078762B" w:rsidP="0078762B">
      <w:pPr>
        <w:spacing w:line="240" w:lineRule="auto"/>
      </w:pPr>
      <w:proofErr w:type="spellStart"/>
      <w:r w:rsidRPr="0078762B">
        <w:t>Sosiaali</w:t>
      </w:r>
      <w:proofErr w:type="spellEnd"/>
      <w:r w:rsidRPr="0078762B">
        <w:t>- ja terveysministeriö</w:t>
      </w:r>
    </w:p>
    <w:p w14:paraId="6A1C4F9B" w14:textId="77777777" w:rsidR="0078762B" w:rsidRPr="0078762B" w:rsidRDefault="0078762B" w:rsidP="0078762B">
      <w:pPr>
        <w:spacing w:line="240" w:lineRule="auto"/>
      </w:pPr>
      <w:r w:rsidRPr="0078762B">
        <w:t>PL 33</w:t>
      </w:r>
    </w:p>
    <w:p w14:paraId="61F6642E" w14:textId="09F86C82" w:rsidR="0092413D" w:rsidRDefault="0078762B" w:rsidP="0078762B">
      <w:pPr>
        <w:spacing w:line="240" w:lineRule="auto"/>
      </w:pPr>
      <w:r w:rsidRPr="0078762B">
        <w:t>00023 Valtioneuvosto</w:t>
      </w:r>
    </w:p>
    <w:sectPr w:rsidR="00924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7443F" w14:textId="77777777" w:rsidR="005241CD" w:rsidRDefault="005241CD" w:rsidP="00375ED4">
      <w:r>
        <w:separator/>
      </w:r>
    </w:p>
  </w:endnote>
  <w:endnote w:type="continuationSeparator" w:id="0">
    <w:p w14:paraId="2AFD1751" w14:textId="77777777" w:rsidR="005241CD" w:rsidRDefault="005241CD" w:rsidP="0037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5F3BC" w14:textId="77777777" w:rsidR="005241CD" w:rsidRDefault="005241C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60F99" w14:textId="77777777" w:rsidR="005241CD" w:rsidRDefault="005241C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A86E6" w14:textId="77777777" w:rsidR="005241CD" w:rsidRDefault="005241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5E1A6" w14:textId="77777777" w:rsidR="005241CD" w:rsidRDefault="005241CD" w:rsidP="00375ED4">
      <w:r>
        <w:separator/>
      </w:r>
    </w:p>
  </w:footnote>
  <w:footnote w:type="continuationSeparator" w:id="0">
    <w:p w14:paraId="32BC4E7D" w14:textId="77777777" w:rsidR="005241CD" w:rsidRDefault="005241CD" w:rsidP="00375ED4">
      <w:r>
        <w:continuationSeparator/>
      </w:r>
    </w:p>
  </w:footnote>
  <w:footnote w:id="1">
    <w:p w14:paraId="7B64B923" w14:textId="77777777" w:rsidR="005241CD" w:rsidRDefault="005241CD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F2656E">
        <w:rPr>
          <w:sz w:val="18"/>
          <w:szCs w:val="18"/>
        </w:rPr>
        <w:t xml:space="preserve">Geenitekniikkalaki (377/1995) </w:t>
      </w:r>
      <w:hyperlink r:id="rId1" w:anchor="P16c" w:history="1">
        <w:r w:rsidRPr="007C667E">
          <w:rPr>
            <w:rStyle w:val="Hyperlinkki"/>
            <w:sz w:val="18"/>
            <w:szCs w:val="18"/>
          </w:rPr>
          <w:t>16 c §</w:t>
        </w:r>
      </w:hyperlink>
      <w:r w:rsidRPr="00F2656E">
        <w:rPr>
          <w:sz w:val="18"/>
          <w:szCs w:val="18"/>
        </w:rPr>
        <w:t xml:space="preserve"> </w:t>
      </w:r>
    </w:p>
  </w:footnote>
  <w:footnote w:id="2">
    <w:p w14:paraId="621F7005" w14:textId="77777777" w:rsidR="005241CD" w:rsidRPr="00F2656E" w:rsidRDefault="005241CD">
      <w:pPr>
        <w:pStyle w:val="Alaviitteenteksti"/>
        <w:rPr>
          <w:sz w:val="18"/>
          <w:szCs w:val="18"/>
        </w:rPr>
      </w:pPr>
      <w:r>
        <w:rPr>
          <w:rStyle w:val="Alaviitteenviite"/>
        </w:rPr>
        <w:footnoteRef/>
      </w:r>
      <w:r>
        <w:t xml:space="preserve"> </w:t>
      </w:r>
      <w:r w:rsidRPr="00F2656E">
        <w:rPr>
          <w:sz w:val="18"/>
          <w:szCs w:val="18"/>
        </w:rPr>
        <w:t xml:space="preserve">Geenitekniikkalaki (377/1995) </w:t>
      </w:r>
      <w:hyperlink r:id="rId2" w:anchor="P16b" w:history="1">
        <w:r w:rsidRPr="007C667E">
          <w:rPr>
            <w:rStyle w:val="Hyperlinkki"/>
            <w:sz w:val="18"/>
            <w:szCs w:val="18"/>
          </w:rPr>
          <w:t>16 b §</w:t>
        </w:r>
      </w:hyperlink>
      <w:r w:rsidRPr="00F2656E">
        <w:rPr>
          <w:sz w:val="18"/>
          <w:szCs w:val="18"/>
        </w:rPr>
        <w:t xml:space="preserve"> ja </w:t>
      </w:r>
      <w:proofErr w:type="spellStart"/>
      <w:r>
        <w:rPr>
          <w:sz w:val="18"/>
          <w:szCs w:val="18"/>
        </w:rPr>
        <w:t>sosiaali</w:t>
      </w:r>
      <w:proofErr w:type="spellEnd"/>
      <w:r>
        <w:rPr>
          <w:sz w:val="18"/>
          <w:szCs w:val="18"/>
        </w:rPr>
        <w:t>- ja terveysministeriön</w:t>
      </w:r>
      <w:r w:rsidRPr="00F2656E">
        <w:rPr>
          <w:sz w:val="18"/>
          <w:szCs w:val="18"/>
        </w:rPr>
        <w:t xml:space="preserve"> asetus 1053/2005 </w:t>
      </w:r>
      <w:hyperlink r:id="rId3" w:history="1">
        <w:r w:rsidRPr="007C667E">
          <w:rPr>
            <w:rStyle w:val="Hyperlinkki"/>
            <w:sz w:val="18"/>
            <w:szCs w:val="18"/>
          </w:rPr>
          <w:t>11 §</w:t>
        </w:r>
      </w:hyperlink>
    </w:p>
  </w:footnote>
  <w:footnote w:id="3">
    <w:p w14:paraId="6B1956D7" w14:textId="77777777" w:rsidR="005241CD" w:rsidRDefault="005241CD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F2656E">
        <w:rPr>
          <w:sz w:val="18"/>
          <w:szCs w:val="18"/>
        </w:rPr>
        <w:t xml:space="preserve">Geenitekniikkalaki (377/1995) </w:t>
      </w:r>
      <w:hyperlink r:id="rId4" w:anchor="P10" w:history="1">
        <w:r w:rsidRPr="007C667E">
          <w:rPr>
            <w:rStyle w:val="Hyperlinkki"/>
            <w:sz w:val="18"/>
            <w:szCs w:val="18"/>
          </w:rPr>
          <w:t>10 §</w:t>
        </w:r>
      </w:hyperlink>
      <w:r w:rsidRPr="00F2656E">
        <w:rPr>
          <w:sz w:val="18"/>
          <w:szCs w:val="18"/>
        </w:rPr>
        <w:t xml:space="preserve"> ja </w:t>
      </w:r>
      <w:proofErr w:type="spellStart"/>
      <w:r>
        <w:rPr>
          <w:sz w:val="18"/>
          <w:szCs w:val="18"/>
        </w:rPr>
        <w:t>sosiaali</w:t>
      </w:r>
      <w:proofErr w:type="spellEnd"/>
      <w:r>
        <w:rPr>
          <w:sz w:val="18"/>
          <w:szCs w:val="18"/>
        </w:rPr>
        <w:t>- ja terveysministeriön</w:t>
      </w:r>
      <w:r w:rsidRPr="00F2656E">
        <w:rPr>
          <w:sz w:val="18"/>
          <w:szCs w:val="18"/>
        </w:rPr>
        <w:t xml:space="preserve"> asetus 272/2006 </w:t>
      </w:r>
      <w:hyperlink r:id="rId5" w:history="1">
        <w:r w:rsidRPr="007C667E">
          <w:rPr>
            <w:rStyle w:val="Hyperlinkki"/>
            <w:sz w:val="18"/>
            <w:szCs w:val="18"/>
          </w:rPr>
          <w:t>9 §</w:t>
        </w:r>
      </w:hyperlink>
    </w:p>
  </w:footnote>
  <w:footnote w:id="4">
    <w:p w14:paraId="46256CF1" w14:textId="77777777" w:rsidR="005241CD" w:rsidRDefault="005241CD" w:rsidP="00FC2696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proofErr w:type="spellStart"/>
      <w:r w:rsidRPr="00F2656E">
        <w:rPr>
          <w:sz w:val="18"/>
          <w:szCs w:val="18"/>
        </w:rPr>
        <w:t>S</w:t>
      </w:r>
      <w:r>
        <w:rPr>
          <w:sz w:val="18"/>
          <w:szCs w:val="18"/>
        </w:rPr>
        <w:t>osiaali</w:t>
      </w:r>
      <w:proofErr w:type="spellEnd"/>
      <w:r>
        <w:rPr>
          <w:sz w:val="18"/>
          <w:szCs w:val="18"/>
        </w:rPr>
        <w:t>- ja terveysministeriön</w:t>
      </w:r>
      <w:r w:rsidRPr="00F2656E">
        <w:rPr>
          <w:sz w:val="18"/>
          <w:szCs w:val="18"/>
        </w:rPr>
        <w:t xml:space="preserve"> asetus 272/2006 </w:t>
      </w:r>
      <w:hyperlink r:id="rId6" w:anchor="P9" w:history="1">
        <w:r w:rsidRPr="007C667E">
          <w:rPr>
            <w:rStyle w:val="Hyperlinkki"/>
            <w:sz w:val="18"/>
            <w:szCs w:val="18"/>
          </w:rPr>
          <w:t>9 §</w:t>
        </w:r>
      </w:hyperlink>
      <w:r w:rsidRPr="00F2656E">
        <w:rPr>
          <w:sz w:val="18"/>
          <w:szCs w:val="18"/>
        </w:rPr>
        <w:t xml:space="preserve"> </w:t>
      </w:r>
    </w:p>
  </w:footnote>
  <w:footnote w:id="5">
    <w:p w14:paraId="24D136B0" w14:textId="77777777" w:rsidR="005241CD" w:rsidRPr="00F2656E" w:rsidRDefault="005241CD" w:rsidP="009F5F39">
      <w:pPr>
        <w:pStyle w:val="Alaviitteenteksti"/>
        <w:rPr>
          <w:sz w:val="18"/>
          <w:szCs w:val="18"/>
        </w:rPr>
      </w:pPr>
      <w:r>
        <w:rPr>
          <w:rStyle w:val="Alaviitteenviite"/>
        </w:rPr>
        <w:footnoteRef/>
      </w:r>
      <w:r>
        <w:t xml:space="preserve"> </w:t>
      </w:r>
      <w:proofErr w:type="spellStart"/>
      <w:r w:rsidRPr="00F2656E">
        <w:rPr>
          <w:sz w:val="18"/>
          <w:szCs w:val="18"/>
        </w:rPr>
        <w:t>S</w:t>
      </w:r>
      <w:r>
        <w:rPr>
          <w:sz w:val="18"/>
          <w:szCs w:val="18"/>
        </w:rPr>
        <w:t>osiaali</w:t>
      </w:r>
      <w:proofErr w:type="spellEnd"/>
      <w:r>
        <w:rPr>
          <w:sz w:val="18"/>
          <w:szCs w:val="18"/>
        </w:rPr>
        <w:t>- ja terveysministeriön</w:t>
      </w:r>
      <w:r w:rsidRPr="00F2656E">
        <w:rPr>
          <w:sz w:val="18"/>
          <w:szCs w:val="18"/>
        </w:rPr>
        <w:t xml:space="preserve"> asetus 272/2006 </w:t>
      </w:r>
      <w:hyperlink r:id="rId7" w:history="1">
        <w:r w:rsidRPr="007C667E">
          <w:rPr>
            <w:rStyle w:val="Hyperlinkki"/>
            <w:sz w:val="18"/>
            <w:szCs w:val="18"/>
          </w:rPr>
          <w:t>9 §</w:t>
        </w:r>
      </w:hyperlink>
    </w:p>
    <w:p w14:paraId="092BCF50" w14:textId="77777777" w:rsidR="005241CD" w:rsidRDefault="005241CD">
      <w:pPr>
        <w:pStyle w:val="Alaviitteentekst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8D2F2" w14:textId="77777777" w:rsidR="005241CD" w:rsidRDefault="005241C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8E67" w14:textId="77777777" w:rsidR="005241CD" w:rsidRDefault="005241C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00B8E" w14:textId="77777777" w:rsidR="005241CD" w:rsidRDefault="005241C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01B"/>
    <w:multiLevelType w:val="hybridMultilevel"/>
    <w:tmpl w:val="89888B1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70A1D"/>
    <w:multiLevelType w:val="hybridMultilevel"/>
    <w:tmpl w:val="7D76B29E"/>
    <w:lvl w:ilvl="0" w:tplc="1DE64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3B31"/>
    <w:multiLevelType w:val="hybridMultilevel"/>
    <w:tmpl w:val="05C82B9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55C43"/>
    <w:multiLevelType w:val="hybridMultilevel"/>
    <w:tmpl w:val="5A9A41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A146C"/>
    <w:multiLevelType w:val="multilevel"/>
    <w:tmpl w:val="7D76B2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91638"/>
    <w:multiLevelType w:val="hybridMultilevel"/>
    <w:tmpl w:val="2A4621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62898"/>
    <w:multiLevelType w:val="hybridMultilevel"/>
    <w:tmpl w:val="F29A86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6"/>
    <w:rsid w:val="00022115"/>
    <w:rsid w:val="00042702"/>
    <w:rsid w:val="00076A7D"/>
    <w:rsid w:val="000B580F"/>
    <w:rsid w:val="000E397C"/>
    <w:rsid w:val="00132AE8"/>
    <w:rsid w:val="00174C3C"/>
    <w:rsid w:val="001D26F2"/>
    <w:rsid w:val="00245E9E"/>
    <w:rsid w:val="00375ED4"/>
    <w:rsid w:val="00384387"/>
    <w:rsid w:val="003F460A"/>
    <w:rsid w:val="0045398F"/>
    <w:rsid w:val="004613C5"/>
    <w:rsid w:val="004B125B"/>
    <w:rsid w:val="004B30D8"/>
    <w:rsid w:val="004F0496"/>
    <w:rsid w:val="005065B4"/>
    <w:rsid w:val="005241CD"/>
    <w:rsid w:val="00527E1C"/>
    <w:rsid w:val="00530C95"/>
    <w:rsid w:val="005416FE"/>
    <w:rsid w:val="005C613E"/>
    <w:rsid w:val="005D2AB6"/>
    <w:rsid w:val="00600C5E"/>
    <w:rsid w:val="00647B00"/>
    <w:rsid w:val="00650E90"/>
    <w:rsid w:val="006A3FE9"/>
    <w:rsid w:val="007032D6"/>
    <w:rsid w:val="00706788"/>
    <w:rsid w:val="00714048"/>
    <w:rsid w:val="0071590B"/>
    <w:rsid w:val="0076120C"/>
    <w:rsid w:val="00780D91"/>
    <w:rsid w:val="0078762B"/>
    <w:rsid w:val="007C5C85"/>
    <w:rsid w:val="007C667E"/>
    <w:rsid w:val="007E0BA7"/>
    <w:rsid w:val="007F4DA4"/>
    <w:rsid w:val="00822F35"/>
    <w:rsid w:val="008E0ACF"/>
    <w:rsid w:val="0092413D"/>
    <w:rsid w:val="009959C2"/>
    <w:rsid w:val="009F5F39"/>
    <w:rsid w:val="00A30466"/>
    <w:rsid w:val="00A52A19"/>
    <w:rsid w:val="00A737C4"/>
    <w:rsid w:val="00AC0366"/>
    <w:rsid w:val="00AE62EE"/>
    <w:rsid w:val="00AE7A12"/>
    <w:rsid w:val="00B11073"/>
    <w:rsid w:val="00B22031"/>
    <w:rsid w:val="00B52433"/>
    <w:rsid w:val="00B6076E"/>
    <w:rsid w:val="00B73A4E"/>
    <w:rsid w:val="00BD05DE"/>
    <w:rsid w:val="00BE0DF5"/>
    <w:rsid w:val="00C124E4"/>
    <w:rsid w:val="00C653EA"/>
    <w:rsid w:val="00C744FD"/>
    <w:rsid w:val="00C827B7"/>
    <w:rsid w:val="00C9507C"/>
    <w:rsid w:val="00CB3318"/>
    <w:rsid w:val="00D42034"/>
    <w:rsid w:val="00D539B3"/>
    <w:rsid w:val="00D8236F"/>
    <w:rsid w:val="00D92E81"/>
    <w:rsid w:val="00DA289F"/>
    <w:rsid w:val="00F20316"/>
    <w:rsid w:val="00F22CB1"/>
    <w:rsid w:val="00F2656E"/>
    <w:rsid w:val="00F27A3C"/>
    <w:rsid w:val="00F66420"/>
    <w:rsid w:val="00FA4BFA"/>
    <w:rsid w:val="00FC2696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CF183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27A3C"/>
    <w:pPr>
      <w:spacing w:before="120" w:after="120" w:line="360" w:lineRule="auto"/>
    </w:pPr>
    <w:rPr>
      <w:rFonts w:ascii="Arial" w:hAnsi="Arial"/>
      <w:sz w:val="22"/>
      <w:szCs w:val="28"/>
    </w:rPr>
  </w:style>
  <w:style w:type="paragraph" w:styleId="Otsikko1">
    <w:name w:val="heading 1"/>
    <w:basedOn w:val="Normaali"/>
    <w:next w:val="Normaali"/>
    <w:qFormat/>
    <w:rsid w:val="00F66420"/>
    <w:pPr>
      <w:keepNext/>
      <w:outlineLvl w:val="0"/>
    </w:pPr>
    <w:rPr>
      <w:b/>
      <w:caps/>
      <w:sz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C036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Meri">
    <w:name w:val="TyyliMeri"/>
    <w:basedOn w:val="Normaali"/>
    <w:next w:val="Normaali"/>
    <w:rPr>
      <w:bCs/>
      <w:u w:val="single"/>
    </w:r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paragraph" w:styleId="Leipteksti">
    <w:name w:val="Body Text"/>
    <w:basedOn w:val="Normaali"/>
    <w:semiHidden/>
    <w:rPr>
      <w:b/>
      <w:bCs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Leipteksti2">
    <w:name w:val="Body Text 2"/>
    <w:basedOn w:val="Normaali"/>
    <w:semiHidden/>
    <w:rPr>
      <w:szCs w:val="22"/>
    </w:rPr>
  </w:style>
  <w:style w:type="character" w:styleId="Kommentinviite">
    <w:name w:val="annotation reference"/>
    <w:basedOn w:val="Kappaleenoletusfontti"/>
    <w:uiPriority w:val="99"/>
    <w:semiHidden/>
    <w:unhideWhenUsed/>
    <w:rsid w:val="00F22CB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22CB1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22CB1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22CB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22CB1"/>
    <w:rPr>
      <w:b/>
      <w:bCs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375ED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375ED4"/>
  </w:style>
  <w:style w:type="character" w:styleId="Alaviitteenviite">
    <w:name w:val="footnote reference"/>
    <w:basedOn w:val="Kappaleenoletusfontti"/>
    <w:uiPriority w:val="99"/>
    <w:semiHidden/>
    <w:unhideWhenUsed/>
    <w:rsid w:val="00375ED4"/>
    <w:rPr>
      <w:vertAlign w:val="superscript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C653E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C653EA"/>
    <w:rPr>
      <w:szCs w:val="28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C653E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C653EA"/>
    <w:rPr>
      <w:szCs w:val="28"/>
    </w:rPr>
  </w:style>
  <w:style w:type="character" w:styleId="AvattuHyperlinkki">
    <w:name w:val="FollowedHyperlink"/>
    <w:basedOn w:val="Kappaleenoletusfontti"/>
    <w:uiPriority w:val="99"/>
    <w:semiHidden/>
    <w:unhideWhenUsed/>
    <w:rsid w:val="007C667E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D539B3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AC0366"/>
    <w:rPr>
      <w:rFonts w:ascii="Arial" w:eastAsiaTheme="majorEastAsia" w:hAnsi="Arial" w:cstheme="majorBidi"/>
      <w:b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lk.stm@stm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nlex.fi/fi/laki/alkup/2005/20051053" TargetMode="External"/><Relationship Id="rId7" Type="http://schemas.openxmlformats.org/officeDocument/2006/relationships/hyperlink" Target="http://www.finlex.fi/fi/laki/alkup/2006/20060272" TargetMode="External"/><Relationship Id="rId2" Type="http://schemas.openxmlformats.org/officeDocument/2006/relationships/hyperlink" Target="http://www.finlex.fi/fi/laki/ajantasa/1995/19950377" TargetMode="External"/><Relationship Id="rId1" Type="http://schemas.openxmlformats.org/officeDocument/2006/relationships/hyperlink" Target="http://www.finlex.fi/fi/laki/ajantasa/1995/19950377" TargetMode="External"/><Relationship Id="rId6" Type="http://schemas.openxmlformats.org/officeDocument/2006/relationships/hyperlink" Target="http://www.finlex.fi/fi/laki/alkup/2006/20060272" TargetMode="External"/><Relationship Id="rId5" Type="http://schemas.openxmlformats.org/officeDocument/2006/relationships/hyperlink" Target="http://www.finlex.fi/fi/laki/alkup/2006/20060272" TargetMode="External"/><Relationship Id="rId4" Type="http://schemas.openxmlformats.org/officeDocument/2006/relationships/hyperlink" Target="http://www.finlex.fi/fi/laki/ajantasa/1995/19950377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965C-0DF4-42F0-AF1C-CF3D3B20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581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Links>
    <vt:vector size="42" baseType="variant">
      <vt:variant>
        <vt:i4>1114128</vt:i4>
      </vt:variant>
      <vt:variant>
        <vt:i4>18</vt:i4>
      </vt:variant>
      <vt:variant>
        <vt:i4>0</vt:i4>
      </vt:variant>
      <vt:variant>
        <vt:i4>5</vt:i4>
      </vt:variant>
      <vt:variant>
        <vt:lpwstr>http://www.finlex.fi/fi/laki/alkup/2006/20060272</vt:lpwstr>
      </vt:variant>
      <vt:variant>
        <vt:lpwstr/>
      </vt:variant>
      <vt:variant>
        <vt:i4>2621536</vt:i4>
      </vt:variant>
      <vt:variant>
        <vt:i4>15</vt:i4>
      </vt:variant>
      <vt:variant>
        <vt:i4>0</vt:i4>
      </vt:variant>
      <vt:variant>
        <vt:i4>5</vt:i4>
      </vt:variant>
      <vt:variant>
        <vt:lpwstr>http://www.finlex.fi/fi/laki/alkup/2006/20060272</vt:lpwstr>
      </vt:variant>
      <vt:variant>
        <vt:lpwstr>P9</vt:lpwstr>
      </vt:variant>
      <vt:variant>
        <vt:i4>1114128</vt:i4>
      </vt:variant>
      <vt:variant>
        <vt:i4>12</vt:i4>
      </vt:variant>
      <vt:variant>
        <vt:i4>0</vt:i4>
      </vt:variant>
      <vt:variant>
        <vt:i4>5</vt:i4>
      </vt:variant>
      <vt:variant>
        <vt:lpwstr>http://www.finlex.fi/fi/laki/alkup/2006/20060272</vt:lpwstr>
      </vt:variant>
      <vt:variant>
        <vt:lpwstr/>
      </vt:variant>
      <vt:variant>
        <vt:i4>5898313</vt:i4>
      </vt:variant>
      <vt:variant>
        <vt:i4>9</vt:i4>
      </vt:variant>
      <vt:variant>
        <vt:i4>0</vt:i4>
      </vt:variant>
      <vt:variant>
        <vt:i4>5</vt:i4>
      </vt:variant>
      <vt:variant>
        <vt:lpwstr>http://www.finlex.fi/fi/laki/ajantasa/1995/19950377</vt:lpwstr>
      </vt:variant>
      <vt:variant>
        <vt:lpwstr>P10</vt:lpwstr>
      </vt:variant>
      <vt:variant>
        <vt:i4>1114128</vt:i4>
      </vt:variant>
      <vt:variant>
        <vt:i4>6</vt:i4>
      </vt:variant>
      <vt:variant>
        <vt:i4>0</vt:i4>
      </vt:variant>
      <vt:variant>
        <vt:i4>5</vt:i4>
      </vt:variant>
      <vt:variant>
        <vt:lpwstr>http://www.finlex.fi/fi/laki/alkup/2005/20051053</vt:lpwstr>
      </vt:variant>
      <vt:variant>
        <vt:lpwstr/>
      </vt:variant>
      <vt:variant>
        <vt:i4>3670143</vt:i4>
      </vt:variant>
      <vt:variant>
        <vt:i4>3</vt:i4>
      </vt:variant>
      <vt:variant>
        <vt:i4>0</vt:i4>
      </vt:variant>
      <vt:variant>
        <vt:i4>5</vt:i4>
      </vt:variant>
      <vt:variant>
        <vt:lpwstr>http://www.finlex.fi/fi/laki/ajantasa/1995/19950377</vt:lpwstr>
      </vt:variant>
      <vt:variant>
        <vt:lpwstr>P16b</vt:lpwstr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http://www.finlex.fi/fi/laki/ajantasa/1995/19950377</vt:lpwstr>
      </vt:variant>
      <vt:variant>
        <vt:lpwstr>P16c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 ja lomake onnettomuuksista ja vaaratilanteista raportoimiseen</dc:title>
  <dc:subject/>
  <dc:creator/>
  <cp:keywords/>
  <dc:description/>
  <cp:lastModifiedBy/>
  <cp:revision>1</cp:revision>
  <dcterms:created xsi:type="dcterms:W3CDTF">2020-09-23T05:28:00Z</dcterms:created>
  <dcterms:modified xsi:type="dcterms:W3CDTF">2020-09-23T09:00:00Z</dcterms:modified>
</cp:coreProperties>
</file>