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09CCD" w14:textId="77777777" w:rsidR="000E231B" w:rsidRPr="00621626" w:rsidRDefault="00F56929" w:rsidP="00621626">
      <w:pPr>
        <w:pStyle w:val="Otsikko1"/>
        <w:spacing w:before="240" w:after="240" w:line="276" w:lineRule="auto"/>
        <w:rPr>
          <w:bCs w:val="0"/>
          <w:iCs/>
          <w:szCs w:val="24"/>
        </w:rPr>
      </w:pPr>
      <w:r w:rsidRPr="00621626">
        <w:rPr>
          <w:bCs w:val="0"/>
          <w:iCs/>
          <w:szCs w:val="24"/>
        </w:rPr>
        <w:t>MUUNTOGEENISIÄ ORGANISMEJA SISÄLTÄVIEN LÄÄKKEIDEN VALMISTUS JA TUTKIMUSKÄYTTÖ</w:t>
      </w:r>
      <w:r w:rsidR="000E231B" w:rsidRPr="00621626">
        <w:rPr>
          <w:bCs w:val="0"/>
          <w:iCs/>
          <w:szCs w:val="24"/>
        </w:rPr>
        <w:t xml:space="preserve"> GEENITEKNIIKKALAIN </w:t>
      </w:r>
      <w:r w:rsidR="00C5423E" w:rsidRPr="00621626">
        <w:rPr>
          <w:bCs w:val="0"/>
          <w:iCs/>
          <w:szCs w:val="24"/>
        </w:rPr>
        <w:t>NÄKÖKULMASTA</w:t>
      </w:r>
    </w:p>
    <w:p w14:paraId="224C3C4A" w14:textId="77777777" w:rsidR="00621626" w:rsidRPr="00621626" w:rsidRDefault="00621626" w:rsidP="00621626">
      <w:pPr>
        <w:spacing w:line="276" w:lineRule="auto"/>
        <w:rPr>
          <w:rFonts w:cs="Arial"/>
          <w:sz w:val="22"/>
          <w:szCs w:val="22"/>
        </w:rPr>
      </w:pPr>
      <w:r w:rsidRPr="00621626">
        <w:rPr>
          <w:rFonts w:cs="Arial"/>
          <w:sz w:val="22"/>
          <w:szCs w:val="22"/>
        </w:rPr>
        <w:t>Geenitekniikan lautakunta</w:t>
      </w:r>
    </w:p>
    <w:p w14:paraId="61B1B839" w14:textId="1F65A4A4" w:rsidR="00621626" w:rsidRPr="00621626" w:rsidRDefault="00BC5917" w:rsidP="00621626">
      <w:pPr>
        <w:spacing w:line="276" w:lineRule="auto"/>
        <w:rPr>
          <w:rFonts w:cs="Arial"/>
          <w:sz w:val="22"/>
          <w:szCs w:val="22"/>
        </w:rPr>
      </w:pPr>
      <w:r>
        <w:rPr>
          <w:rFonts w:cs="Arial"/>
          <w:sz w:val="22"/>
          <w:szCs w:val="22"/>
        </w:rPr>
        <w:t>päivitetty 2</w:t>
      </w:r>
      <w:r w:rsidR="00430C67">
        <w:rPr>
          <w:rFonts w:cs="Arial"/>
          <w:sz w:val="22"/>
          <w:szCs w:val="22"/>
        </w:rPr>
        <w:t>9</w:t>
      </w:r>
      <w:r w:rsidR="00663774">
        <w:rPr>
          <w:rFonts w:cs="Arial"/>
          <w:sz w:val="22"/>
          <w:szCs w:val="22"/>
        </w:rPr>
        <w:t>.9</w:t>
      </w:r>
      <w:r w:rsidR="00675897">
        <w:rPr>
          <w:rFonts w:cs="Arial"/>
          <w:sz w:val="22"/>
          <w:szCs w:val="22"/>
        </w:rPr>
        <w:t>.202</w:t>
      </w:r>
      <w:r w:rsidR="00430C67">
        <w:rPr>
          <w:rFonts w:cs="Arial"/>
          <w:sz w:val="22"/>
          <w:szCs w:val="22"/>
        </w:rPr>
        <w:t>2</w:t>
      </w:r>
    </w:p>
    <w:p w14:paraId="79F55EA3" w14:textId="77777777" w:rsidR="00F56929" w:rsidRPr="00621626" w:rsidRDefault="00F56929" w:rsidP="00621626">
      <w:pPr>
        <w:pStyle w:val="Otsikko2"/>
        <w:ind w:left="720" w:hanging="360"/>
        <w:rPr>
          <w:rFonts w:eastAsiaTheme="majorEastAsia" w:cstheme="majorBidi"/>
        </w:rPr>
      </w:pPr>
      <w:r w:rsidRPr="00621626">
        <w:rPr>
          <w:rFonts w:eastAsiaTheme="majorEastAsia" w:cstheme="majorBidi"/>
        </w:rPr>
        <w:t>Yleistä</w:t>
      </w:r>
    </w:p>
    <w:p w14:paraId="553C7DB0" w14:textId="2515AF25" w:rsidR="004A3CD2" w:rsidRDefault="00F56929" w:rsidP="00DA341A">
      <w:pPr>
        <w:spacing w:after="240" w:line="276" w:lineRule="auto"/>
      </w:pPr>
      <w:r w:rsidRPr="003B1ED1">
        <w:t>Muuntogeenisiä organismeja (GMO) sisältävien lääkkeiden valmistus</w:t>
      </w:r>
      <w:r w:rsidR="000279B1" w:rsidRPr="003B1ED1">
        <w:t xml:space="preserve">, </w:t>
      </w:r>
      <w:r w:rsidRPr="003B1ED1">
        <w:t xml:space="preserve">niillä tehtävät </w:t>
      </w:r>
      <w:proofErr w:type="spellStart"/>
      <w:r w:rsidRPr="003B1ED1">
        <w:t>prekliiniset</w:t>
      </w:r>
      <w:proofErr w:type="spellEnd"/>
      <w:r w:rsidRPr="003B1ED1">
        <w:t xml:space="preserve"> ja kliiniset kokeet sekä </w:t>
      </w:r>
      <w:r w:rsidR="00BC788E" w:rsidRPr="003B1ED1">
        <w:t xml:space="preserve">kokeelliset </w:t>
      </w:r>
      <w:r w:rsidRPr="003B1ED1">
        <w:t>hoidot</w:t>
      </w:r>
      <w:r w:rsidR="00621626">
        <w:t xml:space="preserve"> </w:t>
      </w:r>
      <w:r w:rsidRPr="003B1ED1">
        <w:t xml:space="preserve">kuuluvat </w:t>
      </w:r>
      <w:r w:rsidR="00621626">
        <w:t>myös</w:t>
      </w:r>
      <w:r w:rsidRPr="003B1ED1">
        <w:t xml:space="preserve"> </w:t>
      </w:r>
      <w:r w:rsidRPr="001B360B">
        <w:t>geenitekniikkalain</w:t>
      </w:r>
      <w:r w:rsidR="001B360B">
        <w:t xml:space="preserve"> </w:t>
      </w:r>
      <w:r w:rsidRPr="001B360B">
        <w:t>(377</w:t>
      </w:r>
      <w:r w:rsidRPr="003B1ED1">
        <w:t xml:space="preserve">/1995) </w:t>
      </w:r>
      <w:r w:rsidR="000279B1" w:rsidRPr="003B1ED1">
        <w:t>soveltamisalaan</w:t>
      </w:r>
      <w:r w:rsidR="00BC788E" w:rsidRPr="003B1ED1">
        <w:t xml:space="preserve">, </w:t>
      </w:r>
      <w:r w:rsidR="00621626">
        <w:t xml:space="preserve">jos </w:t>
      </w:r>
      <w:r w:rsidR="00BC788E" w:rsidRPr="003B1ED1">
        <w:t xml:space="preserve">kyseistä </w:t>
      </w:r>
      <w:r w:rsidR="00621626">
        <w:t>muuntogeenist</w:t>
      </w:r>
      <w:r w:rsidR="002F2C70">
        <w:t>ä</w:t>
      </w:r>
      <w:r w:rsidR="00621626">
        <w:t xml:space="preserve"> organismia</w:t>
      </w:r>
      <w:r w:rsidR="00BC788E" w:rsidRPr="003B1ED1">
        <w:t xml:space="preserve"> </w:t>
      </w:r>
      <w:r w:rsidR="00621626">
        <w:t xml:space="preserve">ei </w:t>
      </w:r>
      <w:r w:rsidR="00BC788E" w:rsidRPr="003B1ED1">
        <w:t>ole hyväksytty markkinoitavaksi EU:ssa</w:t>
      </w:r>
      <w:r w:rsidRPr="003B1ED1">
        <w:t>.</w:t>
      </w:r>
      <w:r w:rsidR="004A3CD2" w:rsidRPr="004A3CD2">
        <w:t xml:space="preserve"> </w:t>
      </w:r>
      <w:r w:rsidR="004A3CD2">
        <w:t xml:space="preserve">Käytettävän muuntogeenisen organismin ominaisuudet ja koejärjestelyt ratkaisevat </w:t>
      </w:r>
      <w:r w:rsidR="00021600">
        <w:t xml:space="preserve">tällöin </w:t>
      </w:r>
      <w:r w:rsidR="004A3CD2">
        <w:t>sen, onko kyseessä</w:t>
      </w:r>
      <w:r w:rsidR="004A3CD2" w:rsidRPr="003B1ED1">
        <w:t xml:space="preserve"> suljettu käyttö</w:t>
      </w:r>
      <w:r w:rsidR="00021600">
        <w:t xml:space="preserve"> vai</w:t>
      </w:r>
      <w:r w:rsidR="004A3CD2">
        <w:t xml:space="preserve"> avoimen käytön kenttäkoe (muuntogeenisen organismin tarkoituksellinen levittäminen</w:t>
      </w:r>
      <w:r w:rsidR="004A3CD2" w:rsidRPr="003B1ED1">
        <w:t xml:space="preserve"> ympäristöön muussa kuin </w:t>
      </w:r>
      <w:proofErr w:type="spellStart"/>
      <w:r w:rsidR="004A3CD2" w:rsidRPr="003B1ED1">
        <w:t>markkinoillesaattamistarkoituksessa</w:t>
      </w:r>
      <w:proofErr w:type="spellEnd"/>
      <w:r w:rsidR="004A3CD2">
        <w:t>)</w:t>
      </w:r>
      <w:r w:rsidR="004A3CD2" w:rsidRPr="003B1ED1">
        <w:t>.</w:t>
      </w:r>
    </w:p>
    <w:p w14:paraId="0CAEA720" w14:textId="77777777" w:rsidR="00F56929" w:rsidRPr="003B1ED1" w:rsidRDefault="00F56929" w:rsidP="00DA341A">
      <w:pPr>
        <w:spacing w:after="240" w:line="276" w:lineRule="auto"/>
      </w:pPr>
      <w:r w:rsidRPr="003B1ED1">
        <w:t>Toiminnanharjoittajan</w:t>
      </w:r>
      <w:r w:rsidR="001D1A43" w:rsidRPr="003B1ED1">
        <w:t xml:space="preserve"> on</w:t>
      </w:r>
      <w:r w:rsidRPr="003B1ED1">
        <w:t xml:space="preserve"> teh</w:t>
      </w:r>
      <w:r w:rsidR="001D1A43" w:rsidRPr="003B1ED1">
        <w:t>t</w:t>
      </w:r>
      <w:r w:rsidRPr="003B1ED1">
        <w:t>ä</w:t>
      </w:r>
      <w:r w:rsidR="00621626">
        <w:t>vä</w:t>
      </w:r>
      <w:r w:rsidRPr="003B1ED1">
        <w:t xml:space="preserve"> </w:t>
      </w:r>
      <w:r w:rsidR="006D38C8" w:rsidRPr="003B1ED1">
        <w:t xml:space="preserve">Suomessa tapahtuvasta </w:t>
      </w:r>
      <w:r w:rsidR="00021600">
        <w:t xml:space="preserve">geenitekniikkalain piiriin kuuluvasta </w:t>
      </w:r>
      <w:r w:rsidR="00BC788E" w:rsidRPr="003B1ED1">
        <w:t>käytöstä</w:t>
      </w:r>
      <w:r w:rsidRPr="003B1ED1">
        <w:t xml:space="preserve"> </w:t>
      </w:r>
      <w:r w:rsidRPr="00621626">
        <w:t>ilmoitus tai hakemus geenitekniikan lautakunnalle</w:t>
      </w:r>
      <w:r w:rsidR="001832CD" w:rsidRPr="003B1ED1">
        <w:t xml:space="preserve"> (GTLK)</w:t>
      </w:r>
      <w:r w:rsidR="00BC788E" w:rsidRPr="003B1ED1">
        <w:t xml:space="preserve">. </w:t>
      </w:r>
      <w:r w:rsidR="00DA341A">
        <w:t>S</w:t>
      </w:r>
      <w:r w:rsidR="00DA341A" w:rsidRPr="00353560">
        <w:t>uljetun käytön il</w:t>
      </w:r>
      <w:r w:rsidR="00DA341A">
        <w:t xml:space="preserve">moituksen tai kenttäkoeluvan on </w:t>
      </w:r>
      <w:r w:rsidR="00DA341A" w:rsidRPr="00353560">
        <w:t>oltava voimassa ennen käytön aloittamista</w:t>
      </w:r>
      <w:r w:rsidR="00DA341A">
        <w:t xml:space="preserve">. </w:t>
      </w:r>
      <w:r w:rsidR="00621626">
        <w:t xml:space="preserve">Ilmoituksen tai </w:t>
      </w:r>
      <w:r w:rsidR="00353560" w:rsidRPr="00353560">
        <w:t>hakemuksen jättämisajanko</w:t>
      </w:r>
      <w:r w:rsidR="004A3CD2">
        <w:t>hta</w:t>
      </w:r>
      <w:r w:rsidR="00353560" w:rsidRPr="00353560">
        <w:t xml:space="preserve"> ei ole riippuvainen muille viranomaisille jätettävistä lupahakemuksis</w:t>
      </w:r>
      <w:r w:rsidR="004A3CD2">
        <w:t>ta. Jos muuntogeeniset organismit</w:t>
      </w:r>
      <w:r w:rsidR="00353560" w:rsidRPr="00353560">
        <w:t xml:space="preserve"> tuodaan Suomeen muualta,</w:t>
      </w:r>
      <w:r w:rsidR="004A3CD2">
        <w:t xml:space="preserve"> ilmoituksen tai luvan on oltava voimassa</w:t>
      </w:r>
      <w:r w:rsidR="00353560" w:rsidRPr="00353560">
        <w:t xml:space="preserve"> ennen niiden tuontia.</w:t>
      </w:r>
    </w:p>
    <w:p w14:paraId="234E3677" w14:textId="77777777" w:rsidR="00F56929" w:rsidRPr="003B1ED1" w:rsidRDefault="00F56929" w:rsidP="00DA341A">
      <w:pPr>
        <w:spacing w:after="240"/>
      </w:pPr>
      <w:r w:rsidRPr="00D422A6">
        <w:rPr>
          <w:b/>
        </w:rPr>
        <w:t>Geenitekniikkalain mukainen ilmoitus</w:t>
      </w:r>
      <w:r w:rsidR="00DA341A">
        <w:rPr>
          <w:b/>
        </w:rPr>
        <w:t xml:space="preserve">- tai </w:t>
      </w:r>
      <w:r w:rsidR="001D624F" w:rsidRPr="00D422A6">
        <w:rPr>
          <w:b/>
        </w:rPr>
        <w:t>hakemus</w:t>
      </w:r>
      <w:r w:rsidRPr="00D422A6">
        <w:rPr>
          <w:b/>
        </w:rPr>
        <w:t>menettely määräytyy seuraavien asioiden perusteella:</w:t>
      </w:r>
    </w:p>
    <w:p w14:paraId="0A8C43C8" w14:textId="77777777" w:rsidR="00F56929" w:rsidRPr="003B1ED1" w:rsidRDefault="00DA341A" w:rsidP="00F54892">
      <w:pPr>
        <w:numPr>
          <w:ilvl w:val="0"/>
          <w:numId w:val="2"/>
        </w:numPr>
        <w:spacing w:after="240" w:line="276" w:lineRule="auto"/>
      </w:pPr>
      <w:r>
        <w:t>Muuntogeenisen organismin</w:t>
      </w:r>
      <w:r w:rsidR="00F56929" w:rsidRPr="003B1ED1">
        <w:t xml:space="preserve"> </w:t>
      </w:r>
      <w:r w:rsidR="001D1A43" w:rsidRPr="003B1ED1">
        <w:t>on oltava</w:t>
      </w:r>
      <w:r w:rsidR="00F56929" w:rsidRPr="003B1ED1">
        <w:t xml:space="preserve"> elävä ja täyt</w:t>
      </w:r>
      <w:r w:rsidR="000279B1" w:rsidRPr="003B1ED1">
        <w:t>ettävä</w:t>
      </w:r>
      <w:r w:rsidR="00F56929" w:rsidRPr="003B1ED1">
        <w:t xml:space="preserve"> valtioneuvoston aset</w:t>
      </w:r>
      <w:r>
        <w:t>uksen 928/2004 1 §:n määritelmä</w:t>
      </w:r>
      <w:r w:rsidR="00F56929" w:rsidRPr="003B1ED1">
        <w:t xml:space="preserve">. Huomioi, että suljetussa ja avoimessa käytössä </w:t>
      </w:r>
      <w:r w:rsidR="001D743F">
        <w:t xml:space="preserve">muuntogeenisen organismin </w:t>
      </w:r>
      <w:r w:rsidR="002B69E9" w:rsidRPr="003B1ED1">
        <w:t xml:space="preserve">määritelmät ovat </w:t>
      </w:r>
      <w:r w:rsidR="00F56929" w:rsidRPr="003B1ED1">
        <w:t xml:space="preserve">hieman </w:t>
      </w:r>
      <w:r w:rsidR="002B69E9" w:rsidRPr="003B1ED1">
        <w:t>erilaiset</w:t>
      </w:r>
      <w:r w:rsidR="000279B1" w:rsidRPr="003B1ED1">
        <w:t xml:space="preserve"> </w:t>
      </w:r>
      <w:r w:rsidR="001D743F">
        <w:t>esimerkiksi</w:t>
      </w:r>
      <w:r w:rsidR="000279B1" w:rsidRPr="003B1ED1">
        <w:t xml:space="preserve"> itsekloonauksen osalta</w:t>
      </w:r>
      <w:r w:rsidR="002B69E9" w:rsidRPr="003B1ED1">
        <w:t>.</w:t>
      </w:r>
      <w:r w:rsidR="00F56929" w:rsidRPr="003B1ED1">
        <w:t xml:space="preserve"> Jos </w:t>
      </w:r>
      <w:r w:rsidR="001D743F">
        <w:t>käytettävä organismi ei täytä</w:t>
      </w:r>
      <w:r w:rsidR="00BC788E" w:rsidRPr="003B1ED1">
        <w:t xml:space="preserve"> </w:t>
      </w:r>
      <w:r w:rsidR="001D743F">
        <w:t>määritelmää</w:t>
      </w:r>
      <w:r w:rsidR="002B69E9" w:rsidRPr="003B1ED1">
        <w:t xml:space="preserve"> tai</w:t>
      </w:r>
      <w:r w:rsidR="00F56929" w:rsidRPr="003B1ED1">
        <w:t xml:space="preserve"> </w:t>
      </w:r>
      <w:r w:rsidR="001D743F">
        <w:t>se ei</w:t>
      </w:r>
      <w:r w:rsidR="002B69E9" w:rsidRPr="003B1ED1">
        <w:t xml:space="preserve"> </w:t>
      </w:r>
      <w:r w:rsidR="00F56929" w:rsidRPr="003B1ED1">
        <w:t xml:space="preserve">ole </w:t>
      </w:r>
      <w:r w:rsidR="001D743F">
        <w:t>lisääntymiskykyinen tai pysty</w:t>
      </w:r>
      <w:r w:rsidR="00081F86" w:rsidRPr="003B1ED1">
        <w:t xml:space="preserve"> siirtämään perintöainesta</w:t>
      </w:r>
      <w:r w:rsidR="00F56929" w:rsidRPr="003B1ED1">
        <w:t xml:space="preserve">, toiminta ei kuulu geenitekniikkalain </w:t>
      </w:r>
      <w:r w:rsidR="001D743F">
        <w:t xml:space="preserve">mukaisten menettelyjen </w:t>
      </w:r>
      <w:r w:rsidR="00F56929" w:rsidRPr="003B1ED1">
        <w:t>piiriin.</w:t>
      </w:r>
    </w:p>
    <w:p w14:paraId="42110D3F" w14:textId="77777777" w:rsidR="00E746FB" w:rsidRDefault="00F56929" w:rsidP="00F54892">
      <w:pPr>
        <w:numPr>
          <w:ilvl w:val="0"/>
          <w:numId w:val="2"/>
        </w:numPr>
        <w:spacing w:after="240" w:line="276" w:lineRule="auto"/>
      </w:pPr>
      <w:r w:rsidRPr="003B1ED1">
        <w:t xml:space="preserve">Toiminta voidaan katsoa </w:t>
      </w:r>
      <w:r w:rsidRPr="009E2A44">
        <w:rPr>
          <w:b/>
        </w:rPr>
        <w:t>suljetuksi käytöksi</w:t>
      </w:r>
      <w:r w:rsidR="001D743F">
        <w:rPr>
          <w:rStyle w:val="Alaviitteenviite"/>
        </w:rPr>
        <w:footnoteReference w:id="1"/>
      </w:r>
      <w:r w:rsidR="001D743F">
        <w:t>, jos muuntogeenisen organismin</w:t>
      </w:r>
      <w:r w:rsidRPr="003B1ED1">
        <w:t xml:space="preserve"> ominaisuudet ja </w:t>
      </w:r>
      <w:r w:rsidR="00C5423E" w:rsidRPr="003B1ED1">
        <w:t>käyttötapa</w:t>
      </w:r>
      <w:r w:rsidRPr="003B1ED1">
        <w:t xml:space="preserve"> ovat sellaiset, ett</w:t>
      </w:r>
      <w:r w:rsidR="000279B1" w:rsidRPr="003B1ED1">
        <w:t>ei</w:t>
      </w:r>
      <w:r w:rsidR="001D743F">
        <w:t xml:space="preserve"> elinkykyistä organismia pääse </w:t>
      </w:r>
      <w:r w:rsidRPr="003B1ED1">
        <w:t>leviämään ympäristöön.</w:t>
      </w:r>
      <w:r w:rsidR="00C5423E" w:rsidRPr="003B1ED1">
        <w:t xml:space="preserve"> </w:t>
      </w:r>
      <w:r w:rsidR="00E746FB">
        <w:t xml:space="preserve">Tämä tarkoittaa, että </w:t>
      </w:r>
      <w:r w:rsidR="001D743F" w:rsidRPr="003B1ED1">
        <w:t xml:space="preserve">hoitohenkilöstö </w:t>
      </w:r>
      <w:r w:rsidR="001D743F">
        <w:t xml:space="preserve">ei </w:t>
      </w:r>
      <w:r w:rsidR="001D743F" w:rsidRPr="003B1ED1">
        <w:t xml:space="preserve">altistu tartunnalle </w:t>
      </w:r>
      <w:r w:rsidR="001D743F">
        <w:t xml:space="preserve">käsitellessään </w:t>
      </w:r>
      <w:r w:rsidR="001D743F" w:rsidRPr="003B1ED1">
        <w:t>GMO-val</w:t>
      </w:r>
      <w:r w:rsidR="001D743F">
        <w:t>mistetta</w:t>
      </w:r>
      <w:r w:rsidR="00E746FB">
        <w:t xml:space="preserve"> kliinisen kokeen aikana tai hoitoa annettaessa</w:t>
      </w:r>
      <w:r w:rsidR="001D743F">
        <w:t>.</w:t>
      </w:r>
      <w:r w:rsidR="001D743F" w:rsidRPr="003B1ED1">
        <w:t xml:space="preserve"> </w:t>
      </w:r>
      <w:r w:rsidR="00E746FB">
        <w:t>Myöskään v</w:t>
      </w:r>
      <w:r w:rsidR="001D743F" w:rsidRPr="003B1ED1">
        <w:t>almistetta saaneet koehenkilöt tai -eläimet eivät suljetusta tilasta poistuttuaan voi (enää) erittää lisääntymiskykyistä ja/tai</w:t>
      </w:r>
      <w:r w:rsidR="001D743F">
        <w:t xml:space="preserve"> </w:t>
      </w:r>
      <w:r w:rsidR="00E746FB">
        <w:t>tartuttavaa muuntogeenistä organismia</w:t>
      </w:r>
      <w:r w:rsidR="001D743F" w:rsidRPr="003B1ED1">
        <w:t>.</w:t>
      </w:r>
    </w:p>
    <w:p w14:paraId="23360F91" w14:textId="77777777" w:rsidR="00F56929" w:rsidRPr="003B1ED1" w:rsidRDefault="00081F86" w:rsidP="00F54892">
      <w:pPr>
        <w:spacing w:after="240" w:line="276" w:lineRule="auto"/>
        <w:ind w:left="720"/>
      </w:pPr>
      <w:r w:rsidRPr="003B1ED1">
        <w:t xml:space="preserve">Terapiatarkoituksiin käytettävien </w:t>
      </w:r>
      <w:r w:rsidR="001D743F">
        <w:t xml:space="preserve">muuntogeenisten organismien </w:t>
      </w:r>
      <w:r w:rsidR="00BC788E" w:rsidRPr="003B1ED1">
        <w:t>valmistaminen</w:t>
      </w:r>
      <w:r w:rsidRPr="003B1ED1">
        <w:t>,</w:t>
      </w:r>
      <w:r w:rsidR="00BC788E" w:rsidRPr="003B1ED1">
        <w:t xml:space="preserve"> </w:t>
      </w:r>
      <w:r w:rsidR="00C5423E" w:rsidRPr="003B1ED1">
        <w:t>tuot</w:t>
      </w:r>
      <w:r w:rsidR="00BC788E" w:rsidRPr="003B1ED1">
        <w:t>taminen</w:t>
      </w:r>
      <w:r w:rsidR="00C5423E" w:rsidRPr="003B1ED1">
        <w:t xml:space="preserve"> </w:t>
      </w:r>
      <w:r w:rsidRPr="003B1ED1">
        <w:t xml:space="preserve">ja käyttökuntoon saattaminen </w:t>
      </w:r>
      <w:r w:rsidR="00C5423E" w:rsidRPr="003B1ED1">
        <w:t>on käytännössä aina suljettua käyttöä.</w:t>
      </w:r>
      <w:r w:rsidR="001D743F">
        <w:t xml:space="preserve"> </w:t>
      </w:r>
    </w:p>
    <w:p w14:paraId="6BFFF3CE" w14:textId="77777777" w:rsidR="00C5423E" w:rsidRPr="003B1ED1" w:rsidRDefault="00C5423E" w:rsidP="00E746FB">
      <w:pPr>
        <w:pStyle w:val="Luettelokappale"/>
        <w:spacing w:after="240"/>
      </w:pPr>
    </w:p>
    <w:p w14:paraId="553926A3" w14:textId="77777777" w:rsidR="00F56929" w:rsidRPr="003B1ED1" w:rsidRDefault="00F56929" w:rsidP="00F54892">
      <w:pPr>
        <w:numPr>
          <w:ilvl w:val="0"/>
          <w:numId w:val="2"/>
        </w:numPr>
        <w:spacing w:after="240" w:line="276" w:lineRule="auto"/>
      </w:pPr>
      <w:r w:rsidRPr="003B1ED1">
        <w:lastRenderedPageBreak/>
        <w:t xml:space="preserve">Jos </w:t>
      </w:r>
      <w:r w:rsidR="00E746FB">
        <w:t>riskinarvioinnissa ei voida sulkea pois sitä mahdollisuutta, että toiminn</w:t>
      </w:r>
      <w:r w:rsidR="004A48DD">
        <w:t>an aikana ympäristöön leviäisi</w:t>
      </w:r>
      <w:r w:rsidR="00E746FB">
        <w:t xml:space="preserve"> lisääntymiskykyistä ja/tai tartuttavaa muuntogeenistä organismia</w:t>
      </w:r>
      <w:r w:rsidRPr="003B1ED1">
        <w:t xml:space="preserve">, kyse on </w:t>
      </w:r>
      <w:r w:rsidR="009901C8" w:rsidRPr="00D422A6">
        <w:rPr>
          <w:b/>
        </w:rPr>
        <w:t>avoimesta käytöstä</w:t>
      </w:r>
      <w:r w:rsidR="009901C8">
        <w:t>.</w:t>
      </w:r>
    </w:p>
    <w:p w14:paraId="0C8C1E59" w14:textId="77777777" w:rsidR="00DC6C0D" w:rsidRDefault="004A48DD" w:rsidP="00F54892">
      <w:pPr>
        <w:spacing w:after="240" w:line="276" w:lineRule="auto"/>
      </w:pPr>
      <w:r>
        <w:t>Geenitekniikan lautakunta suosittele</w:t>
      </w:r>
      <w:r w:rsidR="001832CD">
        <w:t>e, että GM-</w:t>
      </w:r>
      <w:r w:rsidR="00353560">
        <w:t>lääke</w:t>
      </w:r>
      <w:r>
        <w:t>valmiste</w:t>
      </w:r>
      <w:r w:rsidR="001832CD">
        <w:t>koetta suunnitteleva toiminnan</w:t>
      </w:r>
      <w:r>
        <w:t xml:space="preserve">harjoittaja on yhteydessä lautakunnan sihteeristöön ennen ilmoituksen tai </w:t>
      </w:r>
      <w:r w:rsidR="001832CD">
        <w:t>hakemuksen laatimista</w:t>
      </w:r>
      <w:r>
        <w:t xml:space="preserve"> oikean menettelyn määrittämiseksi</w:t>
      </w:r>
      <w:r w:rsidR="001832CD">
        <w:t>.</w:t>
      </w:r>
    </w:p>
    <w:p w14:paraId="7674FBB8" w14:textId="77777777" w:rsidR="001D1A43" w:rsidRDefault="001C6F12" w:rsidP="00F54892">
      <w:pPr>
        <w:spacing w:after="240" w:line="276" w:lineRule="auto"/>
      </w:pPr>
      <w:r>
        <w:t xml:space="preserve">Jos </w:t>
      </w:r>
      <w:r w:rsidR="00157C64">
        <w:t xml:space="preserve">toiminta sijoittuu </w:t>
      </w:r>
      <w:r>
        <w:t>useis</w:t>
      </w:r>
      <w:r w:rsidR="00157C64">
        <w:t>iin</w:t>
      </w:r>
      <w:r>
        <w:t xml:space="preserve"> eri </w:t>
      </w:r>
      <w:r w:rsidR="00157C64">
        <w:t>toimi</w:t>
      </w:r>
      <w:r>
        <w:t>p</w:t>
      </w:r>
      <w:r w:rsidR="00157C64">
        <w:t>isteisiin</w:t>
      </w:r>
      <w:r>
        <w:t>, on tapauskohtaisesti harkittava</w:t>
      </w:r>
      <w:r w:rsidR="00157C64">
        <w:t>,</w:t>
      </w:r>
      <w:r>
        <w:t xml:space="preserve"> voidaanko kaikki toiminta sisällyttää yhteen ilmoitukseen</w:t>
      </w:r>
      <w:r w:rsidR="00697005">
        <w:t>/hakemukseen</w:t>
      </w:r>
      <w:r>
        <w:t xml:space="preserve"> vai tehdäänkö ilmoitukset </w:t>
      </w:r>
      <w:r w:rsidR="001B181E">
        <w:t>toimipiste</w:t>
      </w:r>
      <w:r w:rsidR="001D1A43">
        <w:t>kohtaisesti.</w:t>
      </w:r>
      <w:r w:rsidR="00DC6C0D">
        <w:t xml:space="preserve"> </w:t>
      </w:r>
      <w:r w:rsidR="00081F86">
        <w:t xml:space="preserve">Kliinisissä kokeissa on usein </w:t>
      </w:r>
      <w:r w:rsidR="00C820B4">
        <w:t xml:space="preserve">mukana </w:t>
      </w:r>
      <w:r w:rsidR="00DC6C0D">
        <w:t xml:space="preserve">myös </w:t>
      </w:r>
      <w:r w:rsidR="00081F86">
        <w:t xml:space="preserve">eri tason toimijoita, jolloin </w:t>
      </w:r>
      <w:r w:rsidR="00C13014">
        <w:t xml:space="preserve">joudutaan </w:t>
      </w:r>
      <w:r w:rsidR="00081F86">
        <w:t>harkit</w:t>
      </w:r>
      <w:r w:rsidR="00C13014">
        <w:t>semaan</w:t>
      </w:r>
      <w:r w:rsidR="00081F86">
        <w:t xml:space="preserve"> mikä niistä nimetään ilmoituksessa tai hakemuksessa toiminnanharjoittajaksi</w:t>
      </w:r>
      <w:r w:rsidR="00A17631">
        <w:t>.</w:t>
      </w:r>
      <w:r w:rsidR="00C820B4">
        <w:t xml:space="preserve"> </w:t>
      </w:r>
      <w:r w:rsidR="00A17631">
        <w:t>Vaihtoehdois</w:t>
      </w:r>
      <w:r w:rsidR="00FA1873">
        <w:t xml:space="preserve">ta suositellaan valittavaksi </w:t>
      </w:r>
      <w:r w:rsidR="00A17631">
        <w:t xml:space="preserve">taho, joka pystyy parhaiten </w:t>
      </w:r>
      <w:r w:rsidR="00A17631" w:rsidRPr="00A17631">
        <w:t>täyttämään geenite</w:t>
      </w:r>
      <w:r w:rsidR="00FA1873">
        <w:t xml:space="preserve">kniikkalain 3 luvun mukaiset velvoitteet, kuten huolellisuus- ja </w:t>
      </w:r>
      <w:proofErr w:type="spellStart"/>
      <w:r w:rsidR="00FA1873">
        <w:t>selvilläolovelvollisuuden</w:t>
      </w:r>
      <w:proofErr w:type="spellEnd"/>
      <w:r w:rsidR="00735992">
        <w:t xml:space="preserve">. </w:t>
      </w:r>
      <w:r w:rsidR="00D422A6" w:rsidRPr="00D422A6">
        <w:t>Yleensä toiminnanharjoittajaksi valikoituu se yritys, tutkimuslaitos tai sairaala, joka kokeen käytännössä toteuttaa</w:t>
      </w:r>
      <w:r w:rsidR="00D422A6">
        <w:t xml:space="preserve">. </w:t>
      </w:r>
      <w:r w:rsidR="00A17631">
        <w:t>Vastuuhenkilöiksi nimettävien tulisi olla sopimussuhteessa toiminnanharjoittaja</w:t>
      </w:r>
      <w:r w:rsidR="00C820B4">
        <w:t>ksi nimettyyn tahoon</w:t>
      </w:r>
      <w:r w:rsidR="00A17631">
        <w:t>.</w:t>
      </w:r>
    </w:p>
    <w:p w14:paraId="00E9B550" w14:textId="77777777" w:rsidR="001D1A43" w:rsidRDefault="00641052" w:rsidP="00F54892">
      <w:pPr>
        <w:spacing w:after="240" w:line="276" w:lineRule="auto"/>
      </w:pPr>
      <w:r>
        <w:t>G</w:t>
      </w:r>
      <w:r w:rsidR="001D1A43" w:rsidRPr="001D1A43">
        <w:t xml:space="preserve">eenitekniikan lautakunta keskittyy </w:t>
      </w:r>
      <w:r w:rsidR="001D1A43">
        <w:t xml:space="preserve">ilmoituksia ja </w:t>
      </w:r>
      <w:r w:rsidR="001D1A43" w:rsidRPr="001D1A43">
        <w:t>hakemu</w:t>
      </w:r>
      <w:r w:rsidR="001D1A43">
        <w:t>k</w:t>
      </w:r>
      <w:r w:rsidR="001D1A43" w:rsidRPr="001D1A43">
        <w:t>s</w:t>
      </w:r>
      <w:r w:rsidR="001D1A43">
        <w:t>i</w:t>
      </w:r>
      <w:r w:rsidR="001D1A43" w:rsidRPr="001D1A43">
        <w:t xml:space="preserve">a käsitellessään </w:t>
      </w:r>
      <w:r w:rsidR="00157C64" w:rsidRPr="001D1A43">
        <w:t>riskeihin</w:t>
      </w:r>
      <w:r w:rsidR="00157C64">
        <w:t xml:space="preserve">, joita </w:t>
      </w:r>
      <w:r w:rsidR="001D1A43">
        <w:t>toiminnasta</w:t>
      </w:r>
      <w:r w:rsidR="001D1A43" w:rsidRPr="001D1A43">
        <w:t xml:space="preserve"> mahdollisesti aiheutu</w:t>
      </w:r>
      <w:r w:rsidR="00157C64">
        <w:t xml:space="preserve">u </w:t>
      </w:r>
      <w:r w:rsidR="001D1A43" w:rsidRPr="001D1A43">
        <w:t>ympäristö</w:t>
      </w:r>
      <w:r w:rsidR="00157C64">
        <w:t xml:space="preserve">lle </w:t>
      </w:r>
      <w:r w:rsidR="00A05710">
        <w:t>j</w:t>
      </w:r>
      <w:r w:rsidR="00A05710" w:rsidRPr="00353560">
        <w:t>a ulkopuolisi</w:t>
      </w:r>
      <w:r w:rsidR="00157C64" w:rsidRPr="00353560">
        <w:t>lle</w:t>
      </w:r>
      <w:r>
        <w:t xml:space="preserve">. Lautakunta siis arvioi muuntogeenisten organismien mahdollista </w:t>
      </w:r>
      <w:r w:rsidR="001D1A43" w:rsidRPr="001D1A43">
        <w:t>leviämi</w:t>
      </w:r>
      <w:r>
        <w:t>stä</w:t>
      </w:r>
      <w:r w:rsidR="001D1A43" w:rsidRPr="001D1A43">
        <w:t xml:space="preserve"> ympäristöön</w:t>
      </w:r>
      <w:r w:rsidR="00673B88">
        <w:t>,</w:t>
      </w:r>
      <w:r>
        <w:t xml:space="preserve"> sekä</w:t>
      </w:r>
      <w:r w:rsidR="001D1A43" w:rsidRPr="001D1A43">
        <w:t xml:space="preserve"> </w:t>
      </w:r>
      <w:r w:rsidR="008D4927">
        <w:t xml:space="preserve">työntekijöihin </w:t>
      </w:r>
      <w:r>
        <w:t>ja</w:t>
      </w:r>
      <w:r w:rsidR="00FA3A5C">
        <w:t xml:space="preserve"> </w:t>
      </w:r>
      <w:r w:rsidR="00A05710">
        <w:t>muihin</w:t>
      </w:r>
      <w:r w:rsidR="001D1A43" w:rsidRPr="001D1A43">
        <w:t xml:space="preserve"> ihmisiin</w:t>
      </w:r>
      <w:r>
        <w:t xml:space="preserve"> tai eläimiin kohdistuvia riskejä</w:t>
      </w:r>
      <w:r w:rsidR="001D1A43" w:rsidRPr="001D1A43">
        <w:t xml:space="preserve">. Käytettävän valmisteen aiheuttamat </w:t>
      </w:r>
      <w:r w:rsidR="00193C5D" w:rsidRPr="001D1A43">
        <w:t xml:space="preserve">haittavaikutukset </w:t>
      </w:r>
      <w:r w:rsidR="00193C5D">
        <w:t>koehenkilöille</w:t>
      </w:r>
      <w:r w:rsidR="001D1A43" w:rsidRPr="001D1A43">
        <w:t xml:space="preserve"> </w:t>
      </w:r>
      <w:r w:rsidR="00193C5D">
        <w:t>tai -eläimille</w:t>
      </w:r>
      <w:r w:rsidR="00C13014">
        <w:t xml:space="preserve"> </w:t>
      </w:r>
      <w:r w:rsidR="001D1A43" w:rsidRPr="001D1A43">
        <w:t>tai valmisteen tehon arviointi eivät kuulu geeni</w:t>
      </w:r>
      <w:r>
        <w:t>tekniikan lautakunnalle, vaan niitä arvioivat muut viranomaiset ja eettiset toimikunnat</w:t>
      </w:r>
      <w:r w:rsidR="00193C5D">
        <w:t xml:space="preserve">. Geenitekniikan lautakunnalle ei siis tulisi toimittaa </w:t>
      </w:r>
      <w:r w:rsidR="001D1A43" w:rsidRPr="001D1A43">
        <w:t>tarpeettoman laajoja ja yksityiskohtaisia asiakirjoja kokeen lääketieteellisestä puolesta.</w:t>
      </w:r>
    </w:p>
    <w:p w14:paraId="20DD6E18" w14:textId="77777777" w:rsidR="00F56929" w:rsidRDefault="00F56929" w:rsidP="007F1802">
      <w:pPr>
        <w:pStyle w:val="Otsikko2"/>
      </w:pPr>
      <w:r>
        <w:t>Suljettu käyttö</w:t>
      </w:r>
    </w:p>
    <w:p w14:paraId="69D552C1" w14:textId="3EACE8D8" w:rsidR="001D1A43" w:rsidRDefault="00842BF4" w:rsidP="00673B88">
      <w:pPr>
        <w:spacing w:after="240" w:line="276" w:lineRule="auto"/>
      </w:pPr>
      <w:r>
        <w:t>Suljetun käytön ilmoitusmenettely riippuu riskinarvioinnin perusteella tehtävästä käytön luokituksesta</w:t>
      </w:r>
      <w:r w:rsidR="00C5423E">
        <w:t xml:space="preserve"> (luokat 1-4)</w:t>
      </w:r>
      <w:r>
        <w:t xml:space="preserve">. </w:t>
      </w:r>
      <w:r w:rsidR="001D1A43">
        <w:t>Suljetun käytön ilmoituksen on katettava siihen sisältyvien toimipaikkojen osalta kaikki GMO-toimintaan liittyvät työvaiheet ja tilat, joissa käsitellään</w:t>
      </w:r>
      <w:r w:rsidR="00673B88">
        <w:t xml:space="preserve"> elävää muuntogeenistä mikro-organismia</w:t>
      </w:r>
      <w:r w:rsidR="001D1A43">
        <w:t>. Il</w:t>
      </w:r>
      <w:r w:rsidR="00673B88">
        <w:t xml:space="preserve">moituksessa kuvataan siis lääkkeen </w:t>
      </w:r>
      <w:r w:rsidR="001D1A43">
        <w:t>mahdollinen valmistus tai säilytys, saattaminen käyttökuntoon</w:t>
      </w:r>
      <w:r w:rsidR="00157C64">
        <w:t>,</w:t>
      </w:r>
      <w:r w:rsidR="001D1A43">
        <w:t xml:space="preserve"> annostelu koe-eläimille tai </w:t>
      </w:r>
      <w:r w:rsidR="006212BC">
        <w:t xml:space="preserve">koehenkilöille </w:t>
      </w:r>
      <w:r w:rsidR="00157C64">
        <w:t xml:space="preserve">sekä </w:t>
      </w:r>
      <w:r w:rsidR="00673B88">
        <w:t>muuntogeenisiä organismeja</w:t>
      </w:r>
      <w:r w:rsidR="00157C64">
        <w:t xml:space="preserve"> sisältävien jätteiden käsittely</w:t>
      </w:r>
      <w:r w:rsidR="00F54892">
        <w:t>.</w:t>
      </w:r>
    </w:p>
    <w:p w14:paraId="37D498C2" w14:textId="77777777" w:rsidR="00673B88" w:rsidRDefault="001D1A43" w:rsidP="00673B88">
      <w:pPr>
        <w:spacing w:after="240" w:line="276" w:lineRule="auto"/>
      </w:pPr>
      <w:r>
        <w:t>Suljetussa käytössä on noudatettava käytön luokkaa vastaavaa</w:t>
      </w:r>
      <w:r w:rsidR="00673B88">
        <w:t xml:space="preserve"> eristystasoa, jota koskevat </w:t>
      </w:r>
      <w:r>
        <w:t xml:space="preserve">vaatimukset on kuvattu sosiaali- </w:t>
      </w:r>
      <w:r w:rsidR="00673B88">
        <w:t xml:space="preserve">ja terveysministeriön asetuksen </w:t>
      </w:r>
      <w:r>
        <w:t>1053/2005 liitte</w:t>
      </w:r>
      <w:r w:rsidR="00673B88">
        <w:t>en taulukoissa</w:t>
      </w:r>
      <w:r>
        <w:t>. Pienimuotoisessa tuotantotoiminnassa noudatetaan yleensä taulukon 1 vaatimuksia. Teollisen mittakaavan tuotantoon sen sijaan s</w:t>
      </w:r>
      <w:r w:rsidR="00673B88">
        <w:t>ovelletaan taulukkoa 4. Koe-eläin</w:t>
      </w:r>
      <w:r>
        <w:t>toiminnan osalta on huom</w:t>
      </w:r>
      <w:r w:rsidR="00673B88">
        <w:t>ioitava taulukon 3 vaatimukset.</w:t>
      </w:r>
    </w:p>
    <w:p w14:paraId="71F51627" w14:textId="4BECF4E9" w:rsidR="001D1A43" w:rsidRDefault="001D1A43" w:rsidP="000E0CF8">
      <w:pPr>
        <w:spacing w:after="240" w:line="276" w:lineRule="auto"/>
      </w:pPr>
      <w:r>
        <w:t>Geenitekniikan lautakunnan luvalla voidaan yksittäistapauksessa olla soveltamatta tiettyjä eristystasoon sisältyviä vaatimuksia.</w:t>
      </w:r>
      <w:r w:rsidR="000E0CF8">
        <w:t xml:space="preserve"> Jos muuntogeenistä organismia </w:t>
      </w:r>
      <w:r w:rsidR="00003264">
        <w:t xml:space="preserve">voi erittyä potilaasta </w:t>
      </w:r>
      <w:r w:rsidR="00353560">
        <w:t>toimenpiteen</w:t>
      </w:r>
      <w:r w:rsidR="00003264">
        <w:t xml:space="preserve"> jälkeen, eristys- ja suojatoimenpiteillä on estettävä </w:t>
      </w:r>
      <w:r w:rsidR="00157C64">
        <w:t>erittymiseen</w:t>
      </w:r>
      <w:r w:rsidR="00003264">
        <w:t xml:space="preserve"> mahdollisesti liittyvät haittavaikutukset.</w:t>
      </w:r>
      <w:r w:rsidR="000E0CF8">
        <w:t xml:space="preserve"> Tällöin erityistä huomiota on kiinnitettävä siihen, missä </w:t>
      </w:r>
      <w:r w:rsidR="00BA3006">
        <w:t>tilanteissa ulkopuolisten tai ympäristön altistumista voi tapahtua, ja voiko altistuminen olla erityisen haitallista joillekin ryhmille</w:t>
      </w:r>
      <w:r w:rsidR="002F2C70" w:rsidRPr="002F2C70">
        <w:t>,</w:t>
      </w:r>
      <w:r w:rsidR="00BA3006" w:rsidRPr="002F2C70">
        <w:t xml:space="preserve"> </w:t>
      </w:r>
      <w:r w:rsidR="006212BC" w:rsidRPr="002F2C70">
        <w:t>kuten</w:t>
      </w:r>
      <w:r w:rsidR="00BA3006" w:rsidRPr="002F2C70">
        <w:t xml:space="preserve"> raskaana ol</w:t>
      </w:r>
      <w:r w:rsidR="006212BC" w:rsidRPr="002F2C70">
        <w:t>eville tai immuunipuutteisille</w:t>
      </w:r>
      <w:r w:rsidR="00BA3006" w:rsidRPr="002F2C70">
        <w:t>.</w:t>
      </w:r>
      <w:r w:rsidR="00BA3006">
        <w:t xml:space="preserve"> </w:t>
      </w:r>
    </w:p>
    <w:p w14:paraId="134261E4" w14:textId="068F77A9" w:rsidR="0040517F" w:rsidRPr="002F2C70" w:rsidRDefault="000E0CF8" w:rsidP="000E0CF8">
      <w:pPr>
        <w:spacing w:after="240" w:line="276" w:lineRule="auto"/>
      </w:pPr>
      <w:r w:rsidRPr="002F2C70">
        <w:lastRenderedPageBreak/>
        <w:t>Luokkien 1-2</w:t>
      </w:r>
      <w:r w:rsidR="00842BF4" w:rsidRPr="002F2C70">
        <w:t xml:space="preserve"> suljettu käyttö ei edellytä </w:t>
      </w:r>
      <w:r w:rsidR="0087091E" w:rsidRPr="002F2C70">
        <w:t>sitä, että geenitekniikan lautakunta tekisi ilmoitusta koskevan</w:t>
      </w:r>
      <w:r w:rsidR="00842BF4" w:rsidRPr="002F2C70">
        <w:t xml:space="preserve"> </w:t>
      </w:r>
      <w:r w:rsidR="0087091E" w:rsidRPr="002F2C70">
        <w:t>lupapäätöksen</w:t>
      </w:r>
      <w:r w:rsidR="00842BF4" w:rsidRPr="002F2C70">
        <w:t>.</w:t>
      </w:r>
    </w:p>
    <w:p w14:paraId="536B9349" w14:textId="5D9BC27E" w:rsidR="0040517F" w:rsidRDefault="00842BF4" w:rsidP="000E0CF8">
      <w:pPr>
        <w:spacing w:after="240" w:line="276" w:lineRule="auto"/>
      </w:pPr>
      <w:r w:rsidRPr="002F2C70">
        <w:t>Luokkaan 1 kuuluva</w:t>
      </w:r>
      <w:r w:rsidR="000E0CF8" w:rsidRPr="002F2C70">
        <w:t>n käytön saa</w:t>
      </w:r>
      <w:r w:rsidR="00C820B4" w:rsidRPr="002F2C70">
        <w:t xml:space="preserve"> </w:t>
      </w:r>
      <w:r w:rsidRPr="002F2C70">
        <w:t xml:space="preserve">aloittaa heti kun </w:t>
      </w:r>
      <w:r w:rsidR="0040517F" w:rsidRPr="002F2C70">
        <w:t xml:space="preserve">geenitekniikkalain 14 §:n mukainen </w:t>
      </w:r>
      <w:r w:rsidRPr="002F2C70">
        <w:t xml:space="preserve">ilmoitus </w:t>
      </w:r>
      <w:r w:rsidR="0040517F" w:rsidRPr="002F2C70">
        <w:t xml:space="preserve">on </w:t>
      </w:r>
      <w:r w:rsidRPr="002F2C70">
        <w:t>jätetty</w:t>
      </w:r>
      <w:r w:rsidR="0087091E" w:rsidRPr="002F2C70">
        <w:t xml:space="preserve"> lautakunnalle</w:t>
      </w:r>
      <w:r w:rsidRPr="002F2C70">
        <w:t xml:space="preserve">. </w:t>
      </w:r>
      <w:r w:rsidR="006212BC" w:rsidRPr="002F2C70">
        <w:t xml:space="preserve"> </w:t>
      </w:r>
      <w:r w:rsidR="0040517F" w:rsidRPr="002F2C70">
        <w:t>Jos luokkaan 1 kuuluva kliininen lääketutkimus tehdään jo aiemmin ilmoitetuissa tiloissa, siitä ei tarvitse jättää uutta ilmoitusta</w:t>
      </w:r>
      <w:r w:rsidR="0087091E" w:rsidRPr="002F2C70">
        <w:t>, vaan noudatetaan niin sanottua kirjaamismenettelyä. G</w:t>
      </w:r>
      <w:r w:rsidR="0040517F" w:rsidRPr="002F2C70">
        <w:t xml:space="preserve">eenitekniikan lautakunnalle on </w:t>
      </w:r>
      <w:r w:rsidR="0087091E" w:rsidRPr="002F2C70">
        <w:t xml:space="preserve">kuitenkin näissä tapauksissa </w:t>
      </w:r>
      <w:r w:rsidR="0040517F" w:rsidRPr="002F2C70">
        <w:t>toimitettava</w:t>
      </w:r>
      <w:r w:rsidR="008638B2" w:rsidRPr="002F2C70">
        <w:t xml:space="preserve"> uutta tutkimusta koskeva </w:t>
      </w:r>
      <w:r w:rsidR="00246A21" w:rsidRPr="002F2C70">
        <w:t xml:space="preserve">lain 8 §:ssä tarkoitettu </w:t>
      </w:r>
      <w:r w:rsidR="008638B2" w:rsidRPr="002F2C70">
        <w:t>riskinarviointi ennen kokeen aloittamista.</w:t>
      </w:r>
    </w:p>
    <w:p w14:paraId="625FC18A" w14:textId="3C226793" w:rsidR="00842BF4" w:rsidRDefault="00842BF4" w:rsidP="000E0CF8">
      <w:pPr>
        <w:spacing w:after="240" w:line="276" w:lineRule="auto"/>
      </w:pPr>
      <w:r>
        <w:t>Luokkaan 2 kuuluva käyttö voidaan aloittaa 45 päivän kuluttua ilmoituksen jättämisestä, jos suljet</w:t>
      </w:r>
      <w:r w:rsidR="002B69E9">
        <w:t xml:space="preserve">un käytön tiloja ei ole aiemmin </w:t>
      </w:r>
      <w:r>
        <w:t>hyväksytty</w:t>
      </w:r>
      <w:r w:rsidR="000E0CF8">
        <w:t xml:space="preserve"> eristystaso</w:t>
      </w:r>
      <w:r w:rsidR="00C47341">
        <w:t>n</w:t>
      </w:r>
      <w:r w:rsidR="000E0CF8">
        <w:t xml:space="preserve"> 2 tiloiksi</w:t>
      </w:r>
      <w:r>
        <w:t>. Luokan 2 osa</w:t>
      </w:r>
      <w:r w:rsidR="000E0CF8">
        <w:t>lta toiminnanharjoittaja voi halutessaan pyytää geenitekniikan lautakunnan</w:t>
      </w:r>
      <w:r>
        <w:t xml:space="preserve"> kirjallista hyväksymispäätöstä.</w:t>
      </w:r>
      <w:r w:rsidR="002B69E9">
        <w:t xml:space="preserve"> Luokkaan 3 kuuluva käyttö puolestaan edellyttää </w:t>
      </w:r>
      <w:r w:rsidR="000E0CF8">
        <w:t>aina, että lautakunta on tehnyt hyväksymispäätöksen,</w:t>
      </w:r>
      <w:r w:rsidR="002B69E9">
        <w:t xml:space="preserve"> ennen kuin käyttö voidaan aloittaa.</w:t>
      </w:r>
    </w:p>
    <w:p w14:paraId="0E90B037" w14:textId="77777777" w:rsidR="008D4927" w:rsidRDefault="008D4927" w:rsidP="000E0CF8">
      <w:pPr>
        <w:spacing w:after="240" w:line="276" w:lineRule="auto"/>
      </w:pPr>
      <w:r>
        <w:t>Suljetun käytön ilmoitus on laadittava suomen tai ruotsin kielellä. Ilmoitus voi olla englanninkielinen ainoastaan siinä tapauksessa, että pää- ja varavastuuhenkilö eivät pysty toimimaan kummallakaan kotimaisella kielellä.</w:t>
      </w:r>
    </w:p>
    <w:p w14:paraId="58928034" w14:textId="77777777" w:rsidR="0040517F" w:rsidRDefault="001D1A43" w:rsidP="000E0CF8">
      <w:pPr>
        <w:spacing w:after="240" w:line="276" w:lineRule="auto"/>
      </w:pPr>
      <w:r>
        <w:t>Suljetun käytön ilmoituslomake ja tarkempi ohjeistus ilmoitusm</w:t>
      </w:r>
      <w:r w:rsidR="000E0CF8">
        <w:t>enettelystä löytyy geenitekniikan lautakunnan verkkosivu</w:t>
      </w:r>
      <w:r>
        <w:t>ilta</w:t>
      </w:r>
      <w:r w:rsidR="005E27F9">
        <w:t xml:space="preserve"> (geenitekniikanlautakunta.fi)</w:t>
      </w:r>
      <w:r>
        <w:t>.</w:t>
      </w:r>
    </w:p>
    <w:p w14:paraId="1F3AF4FB" w14:textId="77777777" w:rsidR="00F56929" w:rsidRDefault="00F56929" w:rsidP="000E0CF8">
      <w:pPr>
        <w:pStyle w:val="Otsikko2"/>
      </w:pPr>
      <w:r>
        <w:t>Kenttäkoe</w:t>
      </w:r>
      <w:r w:rsidR="000E0CF8">
        <w:t xml:space="preserve"> (tarkoituksellinen levittäminen muussa kuin </w:t>
      </w:r>
      <w:proofErr w:type="spellStart"/>
      <w:r w:rsidR="000E0CF8">
        <w:t>markkinoillesaattamistarkoituksessa</w:t>
      </w:r>
      <w:proofErr w:type="spellEnd"/>
      <w:r w:rsidR="000E0CF8">
        <w:t>)</w:t>
      </w:r>
    </w:p>
    <w:p w14:paraId="33D4FAE1" w14:textId="77777777" w:rsidR="00F56929" w:rsidRDefault="00F56929" w:rsidP="00625248">
      <w:pPr>
        <w:spacing w:after="240" w:line="276" w:lineRule="auto"/>
      </w:pPr>
      <w:r>
        <w:t xml:space="preserve">Geenitekniikkalain 5 luvussa säädetään tarkoituksellisesta levittämisestä ympäristöön muussa kuin </w:t>
      </w:r>
      <w:proofErr w:type="spellStart"/>
      <w:r>
        <w:t>markkinoillesaattamistarkoituksessa</w:t>
      </w:r>
      <w:proofErr w:type="spellEnd"/>
      <w:r>
        <w:t xml:space="preserve"> (kenttäkokeet). Sosiaali- ja terveysministeriön asetuksessa muuntogeenisten organismien tarkoituksellisesta levittämisestä (110</w:t>
      </w:r>
      <w:r w:rsidR="00625248">
        <w:t>5/2019</w:t>
      </w:r>
      <w:r>
        <w:t xml:space="preserve">) </w:t>
      </w:r>
      <w:r w:rsidR="00625248">
        <w:t>on tarkemmat säädökset kenttäkoe</w:t>
      </w:r>
      <w:r>
        <w:t>hakemuksen sisällöstä sekä riskinarvioinnista ja tulosten raportoinnista. Kansalliset säädökset perustuvat direktiiviin 2001/18/EY ja sitä täydentäviin komission ja neuvoston päätöksiin, joihin kenttäkoe</w:t>
      </w:r>
      <w:r w:rsidR="005E27F9">
        <w:t xml:space="preserve">tta suunnittelevien </w:t>
      </w:r>
      <w:r>
        <w:t>toiminnanharjoittajien on hyödyllistä tutustua.</w:t>
      </w:r>
    </w:p>
    <w:p w14:paraId="0CA95E56" w14:textId="3A3527CF" w:rsidR="00F56929" w:rsidRDefault="00F56929" w:rsidP="00625248">
      <w:pPr>
        <w:spacing w:after="240" w:line="276" w:lineRule="auto"/>
      </w:pPr>
      <w:r>
        <w:t>Kenttäkokeeksi ei voida katsoa toimintaa, jossa</w:t>
      </w:r>
      <w:r w:rsidR="005E27F9">
        <w:t xml:space="preserve"> kyse on tuotteen markkinoille saattamisesta</w:t>
      </w:r>
      <w:r w:rsidR="00BA2A1B">
        <w:t xml:space="preserve">. </w:t>
      </w:r>
      <w:r w:rsidR="002F2C70" w:rsidRPr="002F2C70">
        <w:t xml:space="preserve">Markkinoille saattamisessa </w:t>
      </w:r>
      <w:r w:rsidR="00625248" w:rsidRPr="002F2C70">
        <w:t xml:space="preserve">GMO-valmiste </w:t>
      </w:r>
      <w:r w:rsidR="002F2C70" w:rsidRPr="002F2C70">
        <w:t>asete</w:t>
      </w:r>
      <w:r w:rsidR="00BA2A1B" w:rsidRPr="002F2C70">
        <w:t>taan</w:t>
      </w:r>
      <w:r w:rsidR="005E27F9" w:rsidRPr="002F2C70">
        <w:t xml:space="preserve"> kolmansien osapuolien saataville joko maksua vastaan tai vastikkeetta.</w:t>
      </w:r>
      <w:r w:rsidR="005E27F9">
        <w:t xml:space="preserve"> </w:t>
      </w:r>
    </w:p>
    <w:p w14:paraId="5894BF7D" w14:textId="77777777" w:rsidR="00F56929" w:rsidRDefault="00F56929" w:rsidP="00625248">
      <w:pPr>
        <w:spacing w:after="240" w:line="276" w:lineRule="auto"/>
      </w:pPr>
      <w:r>
        <w:t xml:space="preserve">Geenitekniikan lautakunnalla on hakemuksen saapumisesta lukien yhteensä 120 päivää aikaa tehdä päätöksensä. Määräaikaan ei lasketa mukaan mahdollisten pyydettyjen lisäselvitysten odotusaikaa. Näin ollen </w:t>
      </w:r>
      <w:r w:rsidRPr="00625248">
        <w:t xml:space="preserve">toiminnanharjoittajan on suositeltavaa jättää hakemuksensa lautakunnalle jo vähintään 5 kuukautta ennen </w:t>
      </w:r>
      <w:r w:rsidR="00625248">
        <w:t>kenttä</w:t>
      </w:r>
      <w:r w:rsidR="005E27F9" w:rsidRPr="00625248">
        <w:t xml:space="preserve">kokeen </w:t>
      </w:r>
      <w:r w:rsidRPr="00625248">
        <w:t>aiottua aloittamisajankohtaa</w:t>
      </w:r>
      <w:r>
        <w:t>.</w:t>
      </w:r>
    </w:p>
    <w:p w14:paraId="5D830BBB" w14:textId="77777777" w:rsidR="00F56929" w:rsidRDefault="00F56929" w:rsidP="00625248">
      <w:pPr>
        <w:spacing w:after="240" w:line="276" w:lineRule="auto"/>
      </w:pPr>
      <w:r>
        <w:t xml:space="preserve">Kaikista </w:t>
      </w:r>
      <w:r w:rsidR="00625248">
        <w:t xml:space="preserve">lautakunnalle jätetyistä </w:t>
      </w:r>
      <w:r>
        <w:t xml:space="preserve">kenttäkoehakemuksista järjestetään </w:t>
      </w:r>
      <w:r w:rsidR="00625248">
        <w:t>6</w:t>
      </w:r>
      <w:r>
        <w:t>0 päivän pituinen julkinen kuulemi</w:t>
      </w:r>
      <w:r w:rsidR="001B360B">
        <w:t>nen. K</w:t>
      </w:r>
      <w:r>
        <w:t xml:space="preserve">enttäkoehakemuksen saapumisesta tiedotetaan </w:t>
      </w:r>
      <w:r w:rsidR="00625248">
        <w:t xml:space="preserve">yleisölle </w:t>
      </w:r>
      <w:r w:rsidRPr="00625248">
        <w:t>Virallisessa lehdessä</w:t>
      </w:r>
      <w:r>
        <w:t xml:space="preserve"> ja hakemusasiakirjat (pois</w:t>
      </w:r>
      <w:r w:rsidR="00B900E9">
        <w:t xml:space="preserve"> </w:t>
      </w:r>
      <w:r>
        <w:t>lukien salassa</w:t>
      </w:r>
      <w:r w:rsidR="00B900E9">
        <w:t xml:space="preserve"> </w:t>
      </w:r>
      <w:r>
        <w:t xml:space="preserve">pidettävät tiedot) julkaistaan geenitekniikan lautakunnan </w:t>
      </w:r>
      <w:r w:rsidR="00625248">
        <w:t>verkko</w:t>
      </w:r>
      <w:r>
        <w:t>sivuilla.</w:t>
      </w:r>
    </w:p>
    <w:p w14:paraId="0765DF4D" w14:textId="77777777" w:rsidR="00F56929" w:rsidRDefault="00F56929" w:rsidP="00625248">
      <w:pPr>
        <w:spacing w:after="240" w:line="276" w:lineRule="auto"/>
      </w:pPr>
      <w:r>
        <w:lastRenderedPageBreak/>
        <w:t>Muuntoge</w:t>
      </w:r>
      <w:r w:rsidR="00AB31FD">
        <w:t>enistä mikro-organismia koskevassa</w:t>
      </w:r>
      <w:r>
        <w:t xml:space="preserve"> </w:t>
      </w:r>
      <w:r w:rsidR="00D422A6">
        <w:t>kenttäkoe</w:t>
      </w:r>
      <w:r w:rsidR="00AB31FD">
        <w:t>hakemuksessa on oltava mukana seuraavat</w:t>
      </w:r>
      <w:r>
        <w:t xml:space="preserve"> asiakirjat:</w:t>
      </w:r>
    </w:p>
    <w:p w14:paraId="6A3442B2" w14:textId="77777777" w:rsidR="00F56929" w:rsidRDefault="00F56929" w:rsidP="00EF016E">
      <w:pPr>
        <w:numPr>
          <w:ilvl w:val="0"/>
          <w:numId w:val="1"/>
        </w:numPr>
        <w:spacing w:after="240" w:line="276" w:lineRule="auto"/>
      </w:pPr>
      <w:r w:rsidRPr="001B360B">
        <w:t>suomen- tai ruotsinkielinen</w:t>
      </w:r>
      <w:r>
        <w:t xml:space="preserve"> tekninen asiakirja, joka sisältää </w:t>
      </w:r>
      <w:r w:rsidR="00EF016E">
        <w:t>sosiaali- ja terveysministeriön asetuksen (1105/2019)</w:t>
      </w:r>
      <w:r>
        <w:t xml:space="preserve"> 3 luvun </w:t>
      </w:r>
      <w:r w:rsidR="001B360B">
        <w:t xml:space="preserve">6–12 §:n </w:t>
      </w:r>
      <w:r>
        <w:t>mukaiset tiedot;</w:t>
      </w:r>
      <w:r w:rsidR="001B360B">
        <w:t xml:space="preserve"> </w:t>
      </w:r>
    </w:p>
    <w:p w14:paraId="71EF8991" w14:textId="77777777" w:rsidR="00F56929" w:rsidRDefault="00F56929" w:rsidP="00EF016E">
      <w:pPr>
        <w:numPr>
          <w:ilvl w:val="0"/>
          <w:numId w:val="1"/>
        </w:numPr>
        <w:spacing w:after="240" w:line="276" w:lineRule="auto"/>
      </w:pPr>
      <w:r w:rsidRPr="00EF016E">
        <w:t>suomen- tai ruotsinkielinen</w:t>
      </w:r>
      <w:r>
        <w:t xml:space="preserve"> riskinarviointiasiakirja, joka </w:t>
      </w:r>
      <w:r w:rsidR="00EF016E">
        <w:t>täyttää</w:t>
      </w:r>
      <w:r>
        <w:t xml:space="preserve"> asetuksen </w:t>
      </w:r>
      <w:r w:rsidR="001B360B">
        <w:t>7 luvun</w:t>
      </w:r>
      <w:r w:rsidR="00EF016E">
        <w:t xml:space="preserve"> vaatimukset</w:t>
      </w:r>
      <w:r>
        <w:t>;</w:t>
      </w:r>
    </w:p>
    <w:p w14:paraId="2120425A" w14:textId="19961E87" w:rsidR="00430C67" w:rsidRDefault="00F56929" w:rsidP="00430C67">
      <w:pPr>
        <w:numPr>
          <w:ilvl w:val="0"/>
          <w:numId w:val="1"/>
        </w:numPr>
        <w:spacing w:after="240" w:line="276" w:lineRule="auto"/>
      </w:pPr>
      <w:r w:rsidRPr="00E3575F">
        <w:t>englanninkielinen</w:t>
      </w:r>
      <w:r>
        <w:t xml:space="preserve"> hakemuksen tiivistelmä</w:t>
      </w:r>
      <w:r w:rsidR="003E2BD9">
        <w:t xml:space="preserve"> (B-SNIF)</w:t>
      </w:r>
      <w:r>
        <w:t>, jo</w:t>
      </w:r>
      <w:r w:rsidR="003E2BD9">
        <w:t>nka toiminnanharjoittaja laatii sähköisessä EU:n</w:t>
      </w:r>
      <w:r w:rsidR="003E2BD9" w:rsidRPr="003E2BD9">
        <w:t xml:space="preserve"> E-</w:t>
      </w:r>
      <w:proofErr w:type="spellStart"/>
      <w:r w:rsidR="003E2BD9" w:rsidRPr="003E2BD9">
        <w:t>Submission</w:t>
      </w:r>
      <w:proofErr w:type="spellEnd"/>
      <w:r w:rsidR="003E2BD9" w:rsidRPr="003E2BD9">
        <w:t xml:space="preserve"> Food Cha</w:t>
      </w:r>
      <w:r w:rsidR="003E2BD9">
        <w:t xml:space="preserve">in </w:t>
      </w:r>
      <w:proofErr w:type="spellStart"/>
      <w:r w:rsidR="003E2BD9">
        <w:t>Platform</w:t>
      </w:r>
      <w:proofErr w:type="spellEnd"/>
      <w:r w:rsidR="003E2BD9">
        <w:t xml:space="preserve"> (ESFC) -järjestelmässä</w:t>
      </w:r>
      <w:r w:rsidR="00BA2A1B" w:rsidRPr="002F2C70">
        <w:t>.</w:t>
      </w:r>
      <w:r w:rsidR="003E2BD9">
        <w:t xml:space="preserve"> </w:t>
      </w:r>
      <w:r w:rsidR="003E2BD9" w:rsidRPr="003E2BD9">
        <w:t>Menettelystä</w:t>
      </w:r>
      <w:r w:rsidR="003E2BD9">
        <w:t xml:space="preserve"> on lisätietoa </w:t>
      </w:r>
      <w:r w:rsidR="003E2BD9" w:rsidRPr="003E2BD9">
        <w:t xml:space="preserve">komission verkkosivulla </w:t>
      </w:r>
      <w:bookmarkStart w:id="0" w:name="_GoBack"/>
      <w:bookmarkEnd w:id="0"/>
      <w:r w:rsidR="003E2BD9" w:rsidRPr="00EE775E">
        <w:t>(</w:t>
      </w:r>
      <w:hyperlink r:id="rId7" w:history="1">
        <w:r w:rsidR="00EE775E" w:rsidRPr="00EE775E">
          <w:rPr>
            <w:rStyle w:val="Hyperlinkki"/>
          </w:rPr>
          <w:t>https://food.ec.europa.eu/horizontal-topics/general-food-law/training-and-support_en</w:t>
        </w:r>
      </w:hyperlink>
      <w:r w:rsidR="003E2BD9" w:rsidRPr="00EE775E">
        <w:t>)</w:t>
      </w:r>
      <w:r w:rsidR="003E2BD9">
        <w:t xml:space="preserve"> ja</w:t>
      </w:r>
      <w:r w:rsidR="003E2BD9" w:rsidRPr="003E2BD9">
        <w:t xml:space="preserve"> </w:t>
      </w:r>
      <w:proofErr w:type="spellStart"/>
      <w:r w:rsidR="003E2BD9" w:rsidRPr="003E2BD9">
        <w:t>ESFC</w:t>
      </w:r>
      <w:r w:rsidR="00EE775E">
        <w:t>:n</w:t>
      </w:r>
      <w:proofErr w:type="spellEnd"/>
      <w:r w:rsidR="00EE775E">
        <w:t xml:space="preserve"> käyttöoppaassa</w:t>
      </w:r>
      <w:r w:rsidR="00430C67">
        <w:t>.</w:t>
      </w:r>
      <w:r w:rsidR="003E2BD9" w:rsidRPr="003E2BD9">
        <w:t xml:space="preserve"> </w:t>
      </w:r>
    </w:p>
    <w:p w14:paraId="2146BC02" w14:textId="77777777" w:rsidR="00F56929" w:rsidRDefault="00F56929" w:rsidP="00430C67">
      <w:pPr>
        <w:spacing w:after="240" w:line="276" w:lineRule="auto"/>
      </w:pPr>
      <w:r>
        <w:t xml:space="preserve">Toiminnanharjoittajan </w:t>
      </w:r>
      <w:r w:rsidR="006673F0">
        <w:t>on selkeästi ilmaistava</w:t>
      </w:r>
      <w:r>
        <w:t xml:space="preserve">, mitä hakemukseen sisältyviä tietoja hän mahdollisesti pitää salassa pidettävinä geenitekniikkalain 32 §:n mukaisesti. On syytä huomioida, että laissa on yksilöity ne tiedot, joita </w:t>
      </w:r>
      <w:r w:rsidRPr="00430C67">
        <w:t>ei voi</w:t>
      </w:r>
      <w:r>
        <w:t xml:space="preserve"> pitää salassa</w:t>
      </w:r>
      <w:r w:rsidR="00C8057D">
        <w:t xml:space="preserve"> </w:t>
      </w:r>
      <w:r>
        <w:t xml:space="preserve">pidettävinä. </w:t>
      </w:r>
      <w:r w:rsidRPr="006673F0">
        <w:t xml:space="preserve">Hakemus </w:t>
      </w:r>
      <w:r w:rsidR="006673F0">
        <w:t>on laadittava s</w:t>
      </w:r>
      <w:r w:rsidR="005E27F9" w:rsidRPr="006673F0">
        <w:t>iten</w:t>
      </w:r>
      <w:r w:rsidRPr="006673F0">
        <w:t>, että salassa</w:t>
      </w:r>
      <w:r w:rsidR="00C8057D" w:rsidRPr="006673F0">
        <w:t xml:space="preserve"> </w:t>
      </w:r>
      <w:r w:rsidRPr="006673F0">
        <w:t xml:space="preserve">pidettävät tiedot </w:t>
      </w:r>
      <w:r w:rsidR="00E3575F">
        <w:t>on koottu e</w:t>
      </w:r>
      <w:r w:rsidRPr="006673F0">
        <w:t>rilliseen liitteeseen</w:t>
      </w:r>
      <w:r w:rsidR="00081F86" w:rsidRPr="006673F0">
        <w:t xml:space="preserve">, jolloin </w:t>
      </w:r>
      <w:r w:rsidR="006673F0">
        <w:t xml:space="preserve">hakemus voidaan muilta osin </w:t>
      </w:r>
      <w:r w:rsidR="00081F86" w:rsidRPr="006673F0">
        <w:t xml:space="preserve">laittaa </w:t>
      </w:r>
      <w:r w:rsidRPr="006673F0">
        <w:t>sellaisenaan yleisön saataville.</w:t>
      </w:r>
    </w:p>
    <w:p w14:paraId="31A74E87" w14:textId="49D6E1E5" w:rsidR="00F56929" w:rsidRDefault="008D4927" w:rsidP="006673F0">
      <w:pPr>
        <w:spacing w:after="240" w:line="276" w:lineRule="auto"/>
      </w:pPr>
      <w:r>
        <w:t xml:space="preserve">Kenttäkoe on luvallista aloittaa </w:t>
      </w:r>
      <w:r w:rsidR="006673F0">
        <w:t xml:space="preserve">vasta </w:t>
      </w:r>
      <w:r>
        <w:t>sen jälkeen</w:t>
      </w:r>
      <w:r w:rsidR="006673F0">
        <w:t>,</w:t>
      </w:r>
      <w:r>
        <w:t xml:space="preserve"> kun </w:t>
      </w:r>
      <w:r w:rsidR="00BA2A1B">
        <w:t>geenitekniikan lautakunta</w:t>
      </w:r>
      <w:r>
        <w:t xml:space="preserve"> on myöntänyt sille </w:t>
      </w:r>
      <w:r w:rsidRPr="006673F0">
        <w:t>kirjallisen luvan</w:t>
      </w:r>
      <w:r>
        <w:t xml:space="preserve">. Kenttäkokeisiin liittyy </w:t>
      </w:r>
      <w:r w:rsidR="006673F0">
        <w:t xml:space="preserve">aina </w:t>
      </w:r>
      <w:r>
        <w:t>raportointivelvollisuus</w:t>
      </w:r>
      <w:r w:rsidR="000802FF">
        <w:t xml:space="preserve"> sekä mahdollinen jälkiseuranta</w:t>
      </w:r>
      <w:r>
        <w:t>, jo</w:t>
      </w:r>
      <w:r w:rsidR="006673F0">
        <w:t>tka m</w:t>
      </w:r>
      <w:r>
        <w:t xml:space="preserve">ääritellään </w:t>
      </w:r>
      <w:r w:rsidR="006673F0">
        <w:t xml:space="preserve">tarkemmin </w:t>
      </w:r>
      <w:r>
        <w:t>luvan ehdoissa.</w:t>
      </w:r>
    </w:p>
    <w:p w14:paraId="0EC49851" w14:textId="5CAF2E9A" w:rsidR="00B900E9" w:rsidRDefault="00B900E9" w:rsidP="006673F0">
      <w:pPr>
        <w:spacing w:after="240" w:line="276" w:lineRule="auto"/>
      </w:pPr>
      <w:r w:rsidRPr="006673F0">
        <w:t xml:space="preserve">Kaikki </w:t>
      </w:r>
      <w:r w:rsidR="00BA2A1B">
        <w:t xml:space="preserve">tässä </w:t>
      </w:r>
      <w:r w:rsidR="006673F0">
        <w:t>ohjeessa mainitut</w:t>
      </w:r>
      <w:r w:rsidR="00F56929" w:rsidRPr="006673F0">
        <w:t xml:space="preserve"> säädökset löytyvät geenitekniikan lautakunnan </w:t>
      </w:r>
      <w:r w:rsidR="006673F0">
        <w:t>verkko</w:t>
      </w:r>
      <w:r w:rsidR="00F56929" w:rsidRPr="006673F0">
        <w:t>sivuilta</w:t>
      </w:r>
      <w:r w:rsidR="001D624F" w:rsidRPr="006673F0">
        <w:t xml:space="preserve"> Lainsäädäntö-osiosta</w:t>
      </w:r>
      <w:r w:rsidR="00F56929" w:rsidRPr="006673F0">
        <w:t>:</w:t>
      </w:r>
      <w:r w:rsidR="002F2C70">
        <w:t xml:space="preserve"> </w:t>
      </w:r>
      <w:hyperlink r:id="rId8" w:history="1">
        <w:r w:rsidR="002F2C70" w:rsidRPr="002F2C70">
          <w:rPr>
            <w:color w:val="0000FF"/>
            <w:u w:val="single"/>
          </w:rPr>
          <w:t>https://geenitekniikanlautakunta.fi/lainsaadanto</w:t>
        </w:r>
      </w:hyperlink>
      <w:r w:rsidR="002F2C70">
        <w:t>.</w:t>
      </w:r>
    </w:p>
    <w:p w14:paraId="479BA97B" w14:textId="3F21739F" w:rsidR="00430C67" w:rsidRPr="006673F0" w:rsidRDefault="00430C67" w:rsidP="006673F0">
      <w:pPr>
        <w:spacing w:after="240" w:line="276" w:lineRule="auto"/>
      </w:pPr>
      <w:r>
        <w:t xml:space="preserve">Komission </w:t>
      </w:r>
      <w:r w:rsidRPr="00430C67">
        <w:t>verkkosivu</w:t>
      </w:r>
      <w:r>
        <w:t>stolla on näh</w:t>
      </w:r>
      <w:r w:rsidRPr="00430C67">
        <w:t>tävissä myös tiivistelmät kaikista Euroopan unionin alueella tehdyistä kenttäkoehakemuksista</w:t>
      </w:r>
      <w:r>
        <w:t xml:space="preserve"> </w:t>
      </w:r>
      <w:hyperlink r:id="rId9" w:history="1">
        <w:r w:rsidRPr="00430C67">
          <w:rPr>
            <w:rStyle w:val="Hyperlinkki"/>
          </w:rPr>
          <w:t>(https://webgate.ec.europa.eu/fip/GMO_Registers/</w:t>
        </w:r>
      </w:hyperlink>
      <w:r>
        <w:t>)</w:t>
      </w:r>
      <w:r w:rsidRPr="00430C67">
        <w:t>.</w:t>
      </w:r>
    </w:p>
    <w:p w14:paraId="27140EE7" w14:textId="77777777" w:rsidR="00F56929" w:rsidRPr="006673F0" w:rsidRDefault="00B900E9" w:rsidP="006673F0">
      <w:pPr>
        <w:spacing w:after="240" w:line="276" w:lineRule="auto"/>
      </w:pPr>
      <w:r w:rsidRPr="006673F0">
        <w:t>Lisätietoja saa geenitekniikan lautakunnan sihteeristöltä, yhteydenotot mieluiten sähköpostitse</w:t>
      </w:r>
      <w:r w:rsidR="00572E9E" w:rsidRPr="006673F0">
        <w:t xml:space="preserve">: </w:t>
      </w:r>
      <w:hyperlink r:id="rId10" w:history="1">
        <w:r w:rsidR="00572E9E" w:rsidRPr="006673F0">
          <w:t>gtlk.stm@stm.fi</w:t>
        </w:r>
      </w:hyperlink>
    </w:p>
    <w:sectPr w:rsidR="00F56929" w:rsidRPr="006673F0">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567" w:left="1134" w:header="51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A0BB4" w14:textId="77777777" w:rsidR="00196723" w:rsidRDefault="00196723" w:rsidP="00F770E0">
      <w:r>
        <w:separator/>
      </w:r>
    </w:p>
  </w:endnote>
  <w:endnote w:type="continuationSeparator" w:id="0">
    <w:p w14:paraId="682AAC95" w14:textId="77777777" w:rsidR="00196723" w:rsidRDefault="00196723" w:rsidP="00F7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8920B" w14:textId="77777777" w:rsidR="00157651" w:rsidRDefault="0015765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F728" w14:textId="77777777" w:rsidR="00157651" w:rsidRDefault="0015765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9ECC9" w14:textId="77777777" w:rsidR="00157651" w:rsidRDefault="0015765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6A4A" w14:textId="77777777" w:rsidR="00196723" w:rsidRDefault="00196723" w:rsidP="00F770E0">
      <w:r>
        <w:separator/>
      </w:r>
    </w:p>
  </w:footnote>
  <w:footnote w:type="continuationSeparator" w:id="0">
    <w:p w14:paraId="1AE72CCF" w14:textId="77777777" w:rsidR="00196723" w:rsidRDefault="00196723" w:rsidP="00F770E0">
      <w:r>
        <w:continuationSeparator/>
      </w:r>
    </w:p>
  </w:footnote>
  <w:footnote w:id="1">
    <w:p w14:paraId="53FCAF0F" w14:textId="77777777" w:rsidR="001D743F" w:rsidRPr="001D743F" w:rsidRDefault="001D743F" w:rsidP="001D743F">
      <w:pPr>
        <w:pStyle w:val="Alaviitteenteksti"/>
        <w:rPr>
          <w:sz w:val="22"/>
          <w:szCs w:val="22"/>
        </w:rPr>
      </w:pPr>
      <w:r>
        <w:rPr>
          <w:rStyle w:val="Alaviitteenviite"/>
        </w:rPr>
        <w:footnoteRef/>
      </w:r>
      <w:r>
        <w:t xml:space="preserve"> </w:t>
      </w:r>
      <w:r w:rsidRPr="001D743F">
        <w:rPr>
          <w:sz w:val="22"/>
          <w:szCs w:val="22"/>
        </w:rPr>
        <w:t>Geenitekniikkalain (377/1995) mukaan käytöllä suljetussa tilassa tarkoitetaan kaikkia toimia, joilla organismeja muunnetaan geenitekniikalla tai muuntogeenisiä organismeja kasvatetaan, säilytetään, siirretään, tuhotaan, hävitetään tai käytetään muulla tavalla ja joissa käytetään erityisiä eristämistoimenpiteitä organismien pääsyn rajoittamiseksi väestön keskuuteen tai ympäristöön väestön ja ympäristön turvallisuuden korkean tason varmistamiseksi;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496AD" w14:textId="77777777" w:rsidR="00157651" w:rsidRDefault="0015765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BD43" w14:textId="77777777" w:rsidR="00157651" w:rsidRDefault="00157651">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865AA" w14:textId="77777777" w:rsidR="00157651" w:rsidRDefault="0015765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A7279"/>
    <w:multiLevelType w:val="hybridMultilevel"/>
    <w:tmpl w:val="9C6A046A"/>
    <w:lvl w:ilvl="0" w:tplc="5C20BE90">
      <w:start w:val="1"/>
      <w:numFmt w:val="bullet"/>
      <w:lvlText w:val="•"/>
      <w:lvlJc w:val="left"/>
      <w:pPr>
        <w:tabs>
          <w:tab w:val="num" w:pos="720"/>
        </w:tabs>
        <w:ind w:left="720" w:hanging="360"/>
      </w:pPr>
      <w:rPr>
        <w:rFonts w:ascii="Times New Roman" w:hAnsi="Times New Roman"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3C5F39D9"/>
    <w:multiLevelType w:val="hybridMultilevel"/>
    <w:tmpl w:val="9C6A046A"/>
    <w:lvl w:ilvl="0" w:tplc="040B0011">
      <w:start w:val="1"/>
      <w:numFmt w:val="decimal"/>
      <w:lvlText w:val="%1)"/>
      <w:lvlJc w:val="left"/>
      <w:pPr>
        <w:tabs>
          <w:tab w:val="num" w:pos="720"/>
        </w:tabs>
        <w:ind w:left="720" w:hanging="360"/>
      </w:pPr>
      <w:rPr>
        <w:rFonts w:hint="default"/>
      </w:rPr>
    </w:lvl>
    <w:lvl w:ilvl="1" w:tplc="5C20BE90">
      <w:start w:val="1"/>
      <w:numFmt w:val="bullet"/>
      <w:lvlText w:val="•"/>
      <w:lvlJc w:val="left"/>
      <w:pPr>
        <w:tabs>
          <w:tab w:val="num" w:pos="1440"/>
        </w:tabs>
        <w:ind w:left="1440" w:hanging="360"/>
      </w:pPr>
      <w:rPr>
        <w:rFonts w:ascii="Times New Roman" w:hAnsi="Times New Roman"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61054D05"/>
    <w:multiLevelType w:val="hybridMultilevel"/>
    <w:tmpl w:val="FD486476"/>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29"/>
    <w:rsid w:val="00003264"/>
    <w:rsid w:val="00013E98"/>
    <w:rsid w:val="00021600"/>
    <w:rsid w:val="000279B1"/>
    <w:rsid w:val="000726C5"/>
    <w:rsid w:val="000802FF"/>
    <w:rsid w:val="00081F86"/>
    <w:rsid w:val="000B6158"/>
    <w:rsid w:val="000E0CF8"/>
    <w:rsid w:val="000E231B"/>
    <w:rsid w:val="00157651"/>
    <w:rsid w:val="00157C64"/>
    <w:rsid w:val="001832CD"/>
    <w:rsid w:val="00183AD5"/>
    <w:rsid w:val="00193C5D"/>
    <w:rsid w:val="00196723"/>
    <w:rsid w:val="001B181E"/>
    <w:rsid w:val="001B360B"/>
    <w:rsid w:val="001C39F8"/>
    <w:rsid w:val="001C3ECF"/>
    <w:rsid w:val="001C6BDE"/>
    <w:rsid w:val="001C6F12"/>
    <w:rsid w:val="001D1A43"/>
    <w:rsid w:val="001D624F"/>
    <w:rsid w:val="001D743F"/>
    <w:rsid w:val="00246A21"/>
    <w:rsid w:val="00270278"/>
    <w:rsid w:val="0028095A"/>
    <w:rsid w:val="00293C0F"/>
    <w:rsid w:val="0029791C"/>
    <w:rsid w:val="002B69E9"/>
    <w:rsid w:val="002F2C70"/>
    <w:rsid w:val="00353560"/>
    <w:rsid w:val="003B1DAF"/>
    <w:rsid w:val="003B1ED1"/>
    <w:rsid w:val="003E2BD9"/>
    <w:rsid w:val="0040517F"/>
    <w:rsid w:val="00426DDE"/>
    <w:rsid w:val="00430C67"/>
    <w:rsid w:val="004619C9"/>
    <w:rsid w:val="004A3CD2"/>
    <w:rsid w:val="004A48DD"/>
    <w:rsid w:val="00572E9E"/>
    <w:rsid w:val="0059025F"/>
    <w:rsid w:val="005E27F9"/>
    <w:rsid w:val="006212BC"/>
    <w:rsid w:val="00621626"/>
    <w:rsid w:val="00625248"/>
    <w:rsid w:val="00641052"/>
    <w:rsid w:val="00656777"/>
    <w:rsid w:val="00663774"/>
    <w:rsid w:val="006673F0"/>
    <w:rsid w:val="00673B88"/>
    <w:rsid w:val="00675897"/>
    <w:rsid w:val="00697005"/>
    <w:rsid w:val="006A7B9A"/>
    <w:rsid w:val="006D38C8"/>
    <w:rsid w:val="00721A94"/>
    <w:rsid w:val="00735992"/>
    <w:rsid w:val="007944D4"/>
    <w:rsid w:val="007A672A"/>
    <w:rsid w:val="007B6C4E"/>
    <w:rsid w:val="007C6DB3"/>
    <w:rsid w:val="007F1802"/>
    <w:rsid w:val="00842BF4"/>
    <w:rsid w:val="008638B2"/>
    <w:rsid w:val="0087091E"/>
    <w:rsid w:val="00882B0B"/>
    <w:rsid w:val="008A4730"/>
    <w:rsid w:val="008D4927"/>
    <w:rsid w:val="009901C8"/>
    <w:rsid w:val="009E2A44"/>
    <w:rsid w:val="00A05710"/>
    <w:rsid w:val="00A17631"/>
    <w:rsid w:val="00A56710"/>
    <w:rsid w:val="00A81B75"/>
    <w:rsid w:val="00A86C16"/>
    <w:rsid w:val="00AB0A36"/>
    <w:rsid w:val="00AB10FA"/>
    <w:rsid w:val="00AB31FD"/>
    <w:rsid w:val="00AC1BAF"/>
    <w:rsid w:val="00AE5173"/>
    <w:rsid w:val="00AF1E69"/>
    <w:rsid w:val="00B406FB"/>
    <w:rsid w:val="00B556B1"/>
    <w:rsid w:val="00B6598F"/>
    <w:rsid w:val="00B900E9"/>
    <w:rsid w:val="00BA2A1B"/>
    <w:rsid w:val="00BA3006"/>
    <w:rsid w:val="00BC5917"/>
    <w:rsid w:val="00BC788E"/>
    <w:rsid w:val="00C13014"/>
    <w:rsid w:val="00C47341"/>
    <w:rsid w:val="00C5423E"/>
    <w:rsid w:val="00C61300"/>
    <w:rsid w:val="00C8057D"/>
    <w:rsid w:val="00C820B4"/>
    <w:rsid w:val="00CC3EFE"/>
    <w:rsid w:val="00CF3917"/>
    <w:rsid w:val="00D3331A"/>
    <w:rsid w:val="00D422A6"/>
    <w:rsid w:val="00DA341A"/>
    <w:rsid w:val="00DC55A8"/>
    <w:rsid w:val="00DC6C0D"/>
    <w:rsid w:val="00E136C9"/>
    <w:rsid w:val="00E3575F"/>
    <w:rsid w:val="00E466B9"/>
    <w:rsid w:val="00E54A12"/>
    <w:rsid w:val="00E746FB"/>
    <w:rsid w:val="00E9593D"/>
    <w:rsid w:val="00EE775E"/>
    <w:rsid w:val="00EF016E"/>
    <w:rsid w:val="00EF07EE"/>
    <w:rsid w:val="00F3560C"/>
    <w:rsid w:val="00F44C83"/>
    <w:rsid w:val="00F50457"/>
    <w:rsid w:val="00F54892"/>
    <w:rsid w:val="00F56929"/>
    <w:rsid w:val="00F74792"/>
    <w:rsid w:val="00F770E0"/>
    <w:rsid w:val="00FA1873"/>
    <w:rsid w:val="00FA3A5C"/>
    <w:rsid w:val="00FD43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3B08B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21626"/>
    <w:rPr>
      <w:rFonts w:ascii="Arial" w:hAnsi="Arial"/>
      <w:sz w:val="24"/>
    </w:rPr>
  </w:style>
  <w:style w:type="paragraph" w:styleId="Otsikko1">
    <w:name w:val="heading 1"/>
    <w:basedOn w:val="Normaali"/>
    <w:next w:val="Normaali"/>
    <w:qFormat/>
    <w:pPr>
      <w:keepNext/>
      <w:outlineLvl w:val="0"/>
    </w:pPr>
    <w:rPr>
      <w:b/>
      <w:bCs/>
    </w:rPr>
  </w:style>
  <w:style w:type="paragraph" w:styleId="Otsikko2">
    <w:name w:val="heading 2"/>
    <w:basedOn w:val="Normaali"/>
    <w:next w:val="Normaali"/>
    <w:link w:val="Otsikko2Char"/>
    <w:uiPriority w:val="9"/>
    <w:unhideWhenUsed/>
    <w:qFormat/>
    <w:rsid w:val="00621626"/>
    <w:pPr>
      <w:keepNext/>
      <w:spacing w:before="240" w:after="60" w:line="360" w:lineRule="auto"/>
      <w:outlineLvl w:val="1"/>
    </w:pPr>
    <w:rPr>
      <w:b/>
      <w:bCs/>
      <w:iCs/>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semiHidden/>
    <w:rPr>
      <w:color w:val="0000FF"/>
      <w:u w:val="single"/>
    </w:rPr>
  </w:style>
  <w:style w:type="paragraph" w:styleId="Luettelokappale">
    <w:name w:val="List Paragraph"/>
    <w:basedOn w:val="Normaali"/>
    <w:uiPriority w:val="34"/>
    <w:qFormat/>
    <w:rsid w:val="00C5423E"/>
    <w:pPr>
      <w:ind w:left="1304"/>
    </w:pPr>
  </w:style>
  <w:style w:type="character" w:styleId="Kommentinviite">
    <w:name w:val="annotation reference"/>
    <w:uiPriority w:val="99"/>
    <w:semiHidden/>
    <w:unhideWhenUsed/>
    <w:rsid w:val="003B1DAF"/>
    <w:rPr>
      <w:sz w:val="16"/>
      <w:szCs w:val="16"/>
    </w:rPr>
  </w:style>
  <w:style w:type="paragraph" w:styleId="Kommentinteksti">
    <w:name w:val="annotation text"/>
    <w:basedOn w:val="Normaali"/>
    <w:link w:val="KommentintekstiChar"/>
    <w:uiPriority w:val="99"/>
    <w:semiHidden/>
    <w:unhideWhenUsed/>
    <w:rsid w:val="003B1DAF"/>
  </w:style>
  <w:style w:type="character" w:customStyle="1" w:styleId="KommentintekstiChar">
    <w:name w:val="Kommentin teksti Char"/>
    <w:basedOn w:val="Kappaleenoletusfontti"/>
    <w:link w:val="Kommentinteksti"/>
    <w:uiPriority w:val="99"/>
    <w:semiHidden/>
    <w:rsid w:val="003B1DAF"/>
  </w:style>
  <w:style w:type="paragraph" w:styleId="Kommentinotsikko">
    <w:name w:val="annotation subject"/>
    <w:basedOn w:val="Kommentinteksti"/>
    <w:next w:val="Kommentinteksti"/>
    <w:link w:val="KommentinotsikkoChar"/>
    <w:uiPriority w:val="99"/>
    <w:semiHidden/>
    <w:unhideWhenUsed/>
    <w:rsid w:val="003B1DAF"/>
    <w:rPr>
      <w:b/>
      <w:bCs/>
    </w:rPr>
  </w:style>
  <w:style w:type="character" w:customStyle="1" w:styleId="KommentinotsikkoChar">
    <w:name w:val="Kommentin otsikko Char"/>
    <w:link w:val="Kommentinotsikko"/>
    <w:uiPriority w:val="99"/>
    <w:semiHidden/>
    <w:rsid w:val="003B1DAF"/>
    <w:rPr>
      <w:b/>
      <w:bCs/>
    </w:rPr>
  </w:style>
  <w:style w:type="paragraph" w:styleId="Seliteteksti">
    <w:name w:val="Balloon Text"/>
    <w:basedOn w:val="Normaali"/>
    <w:link w:val="SelitetekstiChar"/>
    <w:uiPriority w:val="99"/>
    <w:semiHidden/>
    <w:unhideWhenUsed/>
    <w:rsid w:val="003B1DAF"/>
    <w:rPr>
      <w:rFonts w:ascii="Tahoma" w:hAnsi="Tahoma" w:cs="Tahoma"/>
      <w:sz w:val="16"/>
      <w:szCs w:val="16"/>
    </w:rPr>
  </w:style>
  <w:style w:type="character" w:customStyle="1" w:styleId="SelitetekstiChar">
    <w:name w:val="Seliteteksti Char"/>
    <w:link w:val="Seliteteksti"/>
    <w:uiPriority w:val="99"/>
    <w:semiHidden/>
    <w:rsid w:val="003B1DAF"/>
    <w:rPr>
      <w:rFonts w:ascii="Tahoma" w:hAnsi="Tahoma" w:cs="Tahoma"/>
      <w:sz w:val="16"/>
      <w:szCs w:val="16"/>
    </w:rPr>
  </w:style>
  <w:style w:type="paragraph" w:styleId="Alaviitteenteksti">
    <w:name w:val="footnote text"/>
    <w:basedOn w:val="Normaali"/>
    <w:link w:val="AlaviitteentekstiChar"/>
    <w:uiPriority w:val="99"/>
    <w:semiHidden/>
    <w:unhideWhenUsed/>
    <w:rsid w:val="00F770E0"/>
  </w:style>
  <w:style w:type="character" w:customStyle="1" w:styleId="AlaviitteentekstiChar">
    <w:name w:val="Alaviitteen teksti Char"/>
    <w:basedOn w:val="Kappaleenoletusfontti"/>
    <w:link w:val="Alaviitteenteksti"/>
    <w:uiPriority w:val="99"/>
    <w:semiHidden/>
    <w:rsid w:val="00F770E0"/>
  </w:style>
  <w:style w:type="character" w:styleId="Alaviitteenviite">
    <w:name w:val="footnote reference"/>
    <w:uiPriority w:val="99"/>
    <w:semiHidden/>
    <w:unhideWhenUsed/>
    <w:rsid w:val="00F770E0"/>
    <w:rPr>
      <w:vertAlign w:val="superscript"/>
    </w:rPr>
  </w:style>
  <w:style w:type="paragraph" w:styleId="Yltunniste">
    <w:name w:val="header"/>
    <w:basedOn w:val="Normaali"/>
    <w:link w:val="YltunnisteChar"/>
    <w:uiPriority w:val="99"/>
    <w:unhideWhenUsed/>
    <w:rsid w:val="00157651"/>
    <w:pPr>
      <w:tabs>
        <w:tab w:val="center" w:pos="4819"/>
        <w:tab w:val="right" w:pos="9638"/>
      </w:tabs>
    </w:pPr>
  </w:style>
  <w:style w:type="character" w:customStyle="1" w:styleId="YltunnisteChar">
    <w:name w:val="Ylätunniste Char"/>
    <w:basedOn w:val="Kappaleenoletusfontti"/>
    <w:link w:val="Yltunniste"/>
    <w:uiPriority w:val="99"/>
    <w:rsid w:val="00157651"/>
  </w:style>
  <w:style w:type="paragraph" w:styleId="Alatunniste">
    <w:name w:val="footer"/>
    <w:basedOn w:val="Normaali"/>
    <w:link w:val="AlatunnisteChar"/>
    <w:uiPriority w:val="99"/>
    <w:unhideWhenUsed/>
    <w:rsid w:val="00157651"/>
    <w:pPr>
      <w:tabs>
        <w:tab w:val="center" w:pos="4819"/>
        <w:tab w:val="right" w:pos="9638"/>
      </w:tabs>
    </w:pPr>
  </w:style>
  <w:style w:type="character" w:customStyle="1" w:styleId="AlatunnisteChar">
    <w:name w:val="Alatunniste Char"/>
    <w:basedOn w:val="Kappaleenoletusfontti"/>
    <w:link w:val="Alatunniste"/>
    <w:uiPriority w:val="99"/>
    <w:rsid w:val="00157651"/>
  </w:style>
  <w:style w:type="character" w:customStyle="1" w:styleId="Otsikko2Char">
    <w:name w:val="Otsikko 2 Char"/>
    <w:basedOn w:val="Kappaleenoletusfontti"/>
    <w:link w:val="Otsikko2"/>
    <w:uiPriority w:val="9"/>
    <w:rsid w:val="00621626"/>
    <w:rPr>
      <w:rFonts w:ascii="Arial" w:hAnsi="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enitekniikanlautakunta.fi/lainsaadan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od.ec.europa.eu/horizontal-topics/general-food-law/training-and-support_e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tlk.stm@stm.fi" TargetMode="External"/><Relationship Id="rId4" Type="http://schemas.openxmlformats.org/officeDocument/2006/relationships/webSettings" Target="webSettings.xml"/><Relationship Id="rId9" Type="http://schemas.openxmlformats.org/officeDocument/2006/relationships/hyperlink" Target="file:///\\valtion.fi\Yhteiset%20tiedostot\STM\GTLK\Materiaali\l&#228;&#228;kkeet\(https:\webgate.ec.europa.eu\fip\GMO_Registers\" TargetMode="Externa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9800</Characters>
  <Application>Microsoft Office Word</Application>
  <DocSecurity>0</DocSecurity>
  <Lines>81</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GMO-lääkeohje</vt:lpstr>
      <vt:lpstr/>
    </vt:vector>
  </TitlesOfParts>
  <LinksUpToDate>false</LinksUpToDate>
  <CharactersWithSpaces>10840</CharactersWithSpaces>
  <SharedDoc>false</SharedDoc>
  <HLinks>
    <vt:vector size="24" baseType="variant">
      <vt:variant>
        <vt:i4>4194355</vt:i4>
      </vt:variant>
      <vt:variant>
        <vt:i4>9</vt:i4>
      </vt:variant>
      <vt:variant>
        <vt:i4>0</vt:i4>
      </vt:variant>
      <vt:variant>
        <vt:i4>5</vt:i4>
      </vt:variant>
      <vt:variant>
        <vt:lpwstr>mailto:gtlk.stm@stm.fi</vt:lpwstr>
      </vt:variant>
      <vt:variant>
        <vt:lpwstr/>
      </vt:variant>
      <vt:variant>
        <vt:i4>8192063</vt:i4>
      </vt:variant>
      <vt:variant>
        <vt:i4>6</vt:i4>
      </vt:variant>
      <vt:variant>
        <vt:i4>0</vt:i4>
      </vt:variant>
      <vt:variant>
        <vt:i4>5</vt:i4>
      </vt:variant>
      <vt:variant>
        <vt:lpwstr>http://www.geenitekniikanlautakunta.fi/</vt:lpwstr>
      </vt:variant>
      <vt:variant>
        <vt:lpwstr/>
      </vt:variant>
      <vt:variant>
        <vt:i4>7143533</vt:i4>
      </vt:variant>
      <vt:variant>
        <vt:i4>2</vt:i4>
      </vt:variant>
      <vt:variant>
        <vt:i4>0</vt:i4>
      </vt:variant>
      <vt:variant>
        <vt:i4>5</vt:i4>
      </vt:variant>
      <vt:variant>
        <vt:lpwstr>http://gmoinfo.jrc.it/</vt:lpwstr>
      </vt:variant>
      <vt:variant>
        <vt:lpwstr/>
      </vt:variant>
      <vt:variant>
        <vt:i4>7143533</vt:i4>
      </vt:variant>
      <vt:variant>
        <vt:i4>0</vt:i4>
      </vt:variant>
      <vt:variant>
        <vt:i4>0</vt:i4>
      </vt:variant>
      <vt:variant>
        <vt:i4>5</vt:i4>
      </vt:variant>
      <vt:variant>
        <vt:lpwstr>http://gmoinfo.jrc.it/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GMO-lääkeohje</dc:title>
  <dc:subject/>
  <dc:creator/>
  <cp:keywords/>
  <cp:lastModifiedBy/>
  <cp:revision>1</cp:revision>
  <dcterms:created xsi:type="dcterms:W3CDTF">2022-09-29T09:09:00Z</dcterms:created>
  <dcterms:modified xsi:type="dcterms:W3CDTF">2022-10-03T12:48:00Z</dcterms:modified>
</cp:coreProperties>
</file>