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5B" w:rsidRPr="00B90C5B" w:rsidRDefault="00B90C5B" w:rsidP="00AA3A63">
      <w:pPr>
        <w:pStyle w:val="stmviite1"/>
        <w:tabs>
          <w:tab w:val="left" w:pos="4253"/>
          <w:tab w:val="left" w:pos="7938"/>
          <w:tab w:val="left" w:pos="9072"/>
        </w:tabs>
        <w:rPr>
          <w:rStyle w:val="Sivunumero"/>
          <w:rFonts w:asciiTheme="minorHAnsi" w:hAnsiTheme="minorHAnsi" w:cstheme="minorHAnsi"/>
          <w:color w:val="7F7F7F" w:themeColor="text1" w:themeTint="80"/>
          <w:sz w:val="24"/>
          <w:szCs w:val="24"/>
          <w:lang w:val="fi-FI" w:eastAsia="fi-FI"/>
        </w:rPr>
      </w:pPr>
      <w:r w:rsidRPr="00B90C5B">
        <w:rPr>
          <w:rStyle w:val="Sivunumero"/>
          <w:rFonts w:asciiTheme="minorHAnsi" w:hAnsiTheme="minorHAnsi" w:cstheme="minorHAnsi"/>
          <w:color w:val="7F7F7F" w:themeColor="text1" w:themeTint="80"/>
          <w:sz w:val="24"/>
          <w:szCs w:val="24"/>
          <w:lang w:val="fi-FI" w:eastAsia="fi-FI"/>
        </w:rPr>
        <w:t xml:space="preserve">SOSIAALI- JA </w:t>
      </w:r>
      <w:r w:rsidRPr="00B90C5B">
        <w:rPr>
          <w:rStyle w:val="Sivunumero"/>
          <w:rFonts w:asciiTheme="minorHAnsi" w:hAnsiTheme="minorHAnsi" w:cstheme="minorHAnsi"/>
          <w:color w:val="7F7F7F" w:themeColor="text1" w:themeTint="80"/>
          <w:sz w:val="24"/>
          <w:szCs w:val="24"/>
          <w:lang w:val="fi-FI" w:eastAsia="fi-FI"/>
        </w:rPr>
        <w:tab/>
        <w:t>LAUSUNTO</w:t>
      </w:r>
      <w:r>
        <w:rPr>
          <w:rStyle w:val="Sivunumero"/>
          <w:rFonts w:asciiTheme="minorHAnsi" w:hAnsiTheme="minorHAnsi" w:cstheme="minorHAnsi"/>
          <w:color w:val="7F7F7F" w:themeColor="text1" w:themeTint="80"/>
          <w:sz w:val="24"/>
          <w:szCs w:val="24"/>
          <w:lang w:val="fi-FI" w:eastAsia="fi-FI"/>
        </w:rPr>
        <w:tab/>
        <w:t>Dno</w:t>
      </w:r>
      <w:r w:rsidR="00AA3A63">
        <w:rPr>
          <w:rStyle w:val="Sivunumero"/>
          <w:rFonts w:asciiTheme="minorHAnsi" w:hAnsiTheme="minorHAnsi" w:cstheme="minorHAnsi"/>
          <w:color w:val="7F7F7F" w:themeColor="text1" w:themeTint="80"/>
          <w:sz w:val="24"/>
          <w:szCs w:val="24"/>
          <w:lang w:val="fi-FI" w:eastAsia="fi-FI"/>
        </w:rPr>
        <w:tab/>
        <w:t>1 (5)</w:t>
      </w:r>
    </w:p>
    <w:p w:rsidR="00B90C5B" w:rsidRPr="00B90C5B" w:rsidRDefault="00B90C5B" w:rsidP="00C747ED">
      <w:pPr>
        <w:pStyle w:val="stmnormaali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7938"/>
        </w:tabs>
        <w:ind w:hanging="2608"/>
        <w:rPr>
          <w:rFonts w:asciiTheme="minorHAnsi" w:hAnsiTheme="minorHAnsi" w:cstheme="minorHAnsi"/>
          <w:color w:val="7F7F7F" w:themeColor="text1" w:themeTint="80"/>
          <w:sz w:val="24"/>
          <w:szCs w:val="24"/>
          <w:lang w:eastAsia="fi-FI"/>
        </w:rPr>
      </w:pPr>
      <w:r w:rsidRPr="00B90C5B">
        <w:rPr>
          <w:rFonts w:asciiTheme="minorHAnsi" w:hAnsiTheme="minorHAnsi" w:cstheme="minorHAnsi"/>
          <w:color w:val="7F7F7F" w:themeColor="text1" w:themeTint="80"/>
          <w:sz w:val="24"/>
          <w:szCs w:val="24"/>
          <w:lang w:eastAsia="fi-FI"/>
        </w:rPr>
        <w:t>TERVEYSMINISTERIÖ</w:t>
      </w:r>
      <w:r>
        <w:rPr>
          <w:rFonts w:asciiTheme="minorHAnsi" w:hAnsiTheme="minorHAnsi" w:cstheme="minorHAnsi"/>
          <w:color w:val="7F7F7F" w:themeColor="text1" w:themeTint="80"/>
          <w:sz w:val="24"/>
          <w:szCs w:val="24"/>
          <w:lang w:eastAsia="fi-FI"/>
        </w:rPr>
        <w:tab/>
      </w:r>
      <w:r>
        <w:rPr>
          <w:rFonts w:asciiTheme="minorHAnsi" w:hAnsiTheme="minorHAnsi" w:cstheme="minorHAnsi"/>
          <w:color w:val="7F7F7F" w:themeColor="text1" w:themeTint="80"/>
          <w:sz w:val="24"/>
          <w:szCs w:val="24"/>
          <w:lang w:eastAsia="fi-FI"/>
        </w:rPr>
        <w:tab/>
      </w:r>
      <w:r w:rsidRPr="00AA3A63">
        <w:rPr>
          <w:rFonts w:asciiTheme="minorHAnsi" w:hAnsiTheme="minorHAnsi" w:cstheme="minorHAnsi"/>
          <w:b/>
          <w:color w:val="7F7F7F" w:themeColor="text1" w:themeTint="80"/>
          <w:sz w:val="24"/>
          <w:szCs w:val="24"/>
          <w:lang w:eastAsia="fi-FI"/>
        </w:rPr>
        <w:t>12/F/18</w:t>
      </w:r>
    </w:p>
    <w:p w:rsidR="001A764A" w:rsidRPr="00AA3A63" w:rsidRDefault="00B90C5B" w:rsidP="00B90C5B">
      <w:pPr>
        <w:pStyle w:val="stmviite1"/>
        <w:tabs>
          <w:tab w:val="left" w:pos="4253"/>
        </w:tabs>
        <w:rPr>
          <w:rStyle w:val="Sivunumero"/>
          <w:rFonts w:ascii="Arial" w:hAnsi="Arial" w:cs="Arial"/>
          <w:color w:val="auto"/>
          <w:lang w:val="fi-FI" w:eastAsia="fi-FI"/>
        </w:rPr>
      </w:pPr>
      <w:r w:rsidRPr="00B90C5B">
        <w:rPr>
          <w:rStyle w:val="Sivunumero"/>
          <w:b/>
          <w:color w:val="auto"/>
          <w:lang w:val="fi-FI" w:eastAsia="fi-FI"/>
        </w:rPr>
        <w:t>Geenitekniikan lautakunta</w:t>
      </w:r>
      <w:r>
        <w:rPr>
          <w:rStyle w:val="Sivunumero"/>
          <w:b/>
          <w:color w:val="auto"/>
          <w:lang w:val="fi-FI" w:eastAsia="fi-FI"/>
        </w:rPr>
        <w:tab/>
      </w:r>
      <w:r w:rsidRPr="00AA3A63">
        <w:rPr>
          <w:rStyle w:val="Sivunumero"/>
          <w:rFonts w:ascii="Arial" w:hAnsi="Arial" w:cs="Arial"/>
          <w:color w:val="auto"/>
          <w:lang w:val="fi-FI" w:eastAsia="fi-FI"/>
        </w:rPr>
        <w:t>1.2.2019</w:t>
      </w:r>
    </w:p>
    <w:p w:rsidR="00B90C5B" w:rsidRPr="00AA3A63" w:rsidRDefault="00B90C5B" w:rsidP="00B90C5B">
      <w:pPr>
        <w:pStyle w:val="stmnormaali0"/>
        <w:ind w:left="0"/>
        <w:rPr>
          <w:rFonts w:ascii="Arial" w:hAnsi="Arial" w:cs="Arial"/>
          <w:sz w:val="24"/>
          <w:szCs w:val="24"/>
          <w:lang w:eastAsia="fi-FI"/>
        </w:rPr>
      </w:pPr>
    </w:p>
    <w:p w:rsidR="00766A4F" w:rsidRPr="005C4F59" w:rsidRDefault="001A764A">
      <w:pPr>
        <w:pStyle w:val="stmviite1"/>
        <w:rPr>
          <w:rFonts w:ascii="Arial" w:hAnsi="Arial" w:cs="Arial"/>
          <w:color w:val="000000"/>
          <w:sz w:val="24"/>
          <w:szCs w:val="24"/>
          <w:lang w:val="fi-FI"/>
        </w:rPr>
      </w:pPr>
      <w:r w:rsidRPr="005C4F59">
        <w:rPr>
          <w:rFonts w:ascii="Arial" w:hAnsi="Arial" w:cs="Arial"/>
          <w:color w:val="000000"/>
          <w:sz w:val="24"/>
          <w:szCs w:val="24"/>
          <w:lang w:val="fi-FI"/>
        </w:rPr>
        <w:t xml:space="preserve">Viite: </w:t>
      </w:r>
      <w:r w:rsidR="0016378E" w:rsidRPr="005C4F59">
        <w:rPr>
          <w:rFonts w:ascii="Arial" w:hAnsi="Arial" w:cs="Arial"/>
          <w:color w:val="000000"/>
          <w:sz w:val="24"/>
          <w:szCs w:val="24"/>
          <w:lang w:val="fi-FI"/>
        </w:rPr>
        <w:t>Liiken</w:t>
      </w:r>
      <w:r w:rsidR="00766A4F" w:rsidRPr="005C4F59">
        <w:rPr>
          <w:rFonts w:ascii="Arial" w:hAnsi="Arial" w:cs="Arial"/>
          <w:color w:val="000000"/>
          <w:sz w:val="24"/>
          <w:szCs w:val="24"/>
          <w:lang w:val="fi-FI"/>
        </w:rPr>
        <w:t xml:space="preserve">ne- ja viestintäministeriön </w:t>
      </w:r>
      <w:r w:rsidR="0016378E" w:rsidRPr="005C4F59">
        <w:rPr>
          <w:rFonts w:ascii="Arial" w:hAnsi="Arial" w:cs="Arial"/>
          <w:color w:val="000000"/>
          <w:sz w:val="24"/>
          <w:szCs w:val="24"/>
          <w:lang w:val="fi-FI"/>
        </w:rPr>
        <w:t>lausuntopyyn</w:t>
      </w:r>
      <w:r w:rsidR="00766A4F" w:rsidRPr="005C4F59">
        <w:rPr>
          <w:rFonts w:ascii="Arial" w:hAnsi="Arial" w:cs="Arial"/>
          <w:color w:val="000000"/>
          <w:sz w:val="24"/>
          <w:szCs w:val="24"/>
          <w:lang w:val="fi-FI"/>
        </w:rPr>
        <w:t>tö</w:t>
      </w:r>
      <w:r w:rsidR="00182B3A" w:rsidRPr="005C4F59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766A4F" w:rsidRPr="005C4F59">
        <w:rPr>
          <w:rFonts w:ascii="Arial" w:hAnsi="Arial" w:cs="Arial"/>
          <w:color w:val="000000"/>
          <w:sz w:val="24"/>
          <w:szCs w:val="24"/>
          <w:lang w:val="fi-FI"/>
        </w:rPr>
        <w:t>19</w:t>
      </w:r>
      <w:r w:rsidR="0016378E" w:rsidRPr="005C4F59">
        <w:rPr>
          <w:rFonts w:ascii="Arial" w:hAnsi="Arial" w:cs="Arial"/>
          <w:color w:val="000000"/>
          <w:sz w:val="24"/>
          <w:szCs w:val="24"/>
          <w:lang w:val="fi-FI"/>
        </w:rPr>
        <w:t>.</w:t>
      </w:r>
      <w:r w:rsidR="00766A4F" w:rsidRPr="005C4F59">
        <w:rPr>
          <w:rFonts w:ascii="Arial" w:hAnsi="Arial" w:cs="Arial"/>
          <w:color w:val="000000"/>
          <w:sz w:val="24"/>
          <w:szCs w:val="24"/>
          <w:lang w:val="fi-FI"/>
        </w:rPr>
        <w:t>12</w:t>
      </w:r>
      <w:r w:rsidR="0016378E" w:rsidRPr="005C4F59">
        <w:rPr>
          <w:rFonts w:ascii="Arial" w:hAnsi="Arial" w:cs="Arial"/>
          <w:color w:val="000000"/>
          <w:sz w:val="24"/>
          <w:szCs w:val="24"/>
          <w:lang w:val="fi-FI"/>
        </w:rPr>
        <w:t>.201</w:t>
      </w:r>
      <w:r w:rsidR="00766A4F" w:rsidRPr="005C4F59">
        <w:rPr>
          <w:rFonts w:ascii="Arial" w:hAnsi="Arial" w:cs="Arial"/>
          <w:color w:val="000000"/>
          <w:sz w:val="24"/>
          <w:szCs w:val="24"/>
          <w:lang w:val="fi-FI"/>
        </w:rPr>
        <w:t xml:space="preserve">8 </w:t>
      </w:r>
      <w:r w:rsidR="0058576F" w:rsidRPr="005C4F59">
        <w:rPr>
          <w:rFonts w:ascii="Arial" w:hAnsi="Arial" w:cs="Arial"/>
          <w:color w:val="000000"/>
          <w:sz w:val="24"/>
          <w:szCs w:val="24"/>
          <w:lang w:val="fi-FI"/>
        </w:rPr>
        <w:t xml:space="preserve">[LVM/1557/03/2018] </w:t>
      </w:r>
      <w:r w:rsidR="00766A4F" w:rsidRPr="005C4F59">
        <w:rPr>
          <w:rFonts w:ascii="Arial" w:hAnsi="Arial" w:cs="Arial"/>
          <w:color w:val="000000"/>
          <w:sz w:val="24"/>
          <w:szCs w:val="24"/>
          <w:lang w:val="fi-FI"/>
        </w:rPr>
        <w:t>vaarallisten aineiden kuljetuksesta annetun lain kokonaisuudistuksen arviomuistioluonnoksesta.</w:t>
      </w:r>
    </w:p>
    <w:p w:rsidR="001A764A" w:rsidRPr="005C4F59" w:rsidRDefault="001A764A">
      <w:pPr>
        <w:pStyle w:val="STMnormaali"/>
        <w:rPr>
          <w:rFonts w:ascii="Arial" w:hAnsi="Arial" w:cs="Arial"/>
          <w:color w:val="000000"/>
          <w:sz w:val="24"/>
          <w:szCs w:val="24"/>
        </w:rPr>
      </w:pPr>
    </w:p>
    <w:p w:rsidR="001A764A" w:rsidRPr="00154B53" w:rsidRDefault="000E417A" w:rsidP="00154B53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154B53">
        <w:rPr>
          <w:rFonts w:ascii="Arial" w:hAnsi="Arial" w:cs="Arial"/>
          <w:b/>
          <w:caps/>
          <w:color w:val="auto"/>
          <w:sz w:val="24"/>
          <w:szCs w:val="24"/>
        </w:rPr>
        <w:t xml:space="preserve">Asia: </w:t>
      </w:r>
      <w:bookmarkStart w:id="0" w:name="_GoBack"/>
      <w:bookmarkEnd w:id="0"/>
      <w:r w:rsidRPr="00154B53">
        <w:rPr>
          <w:rFonts w:ascii="Arial" w:hAnsi="Arial" w:cs="Arial"/>
          <w:b/>
          <w:color w:val="auto"/>
          <w:sz w:val="24"/>
          <w:szCs w:val="24"/>
        </w:rPr>
        <w:t xml:space="preserve">Geenitekniikan lautakunnan lausunto </w:t>
      </w:r>
    </w:p>
    <w:p w:rsidR="00762274" w:rsidRPr="00154B53" w:rsidRDefault="00762274" w:rsidP="00762274">
      <w:pPr>
        <w:pStyle w:val="stmasia0"/>
        <w:rPr>
          <w:rFonts w:ascii="Arial" w:hAnsi="Arial" w:cs="Arial"/>
          <w:b w:val="0"/>
          <w:color w:val="000000"/>
          <w:szCs w:val="24"/>
          <w:lang w:val="fi-FI"/>
        </w:rPr>
      </w:pPr>
    </w:p>
    <w:p w:rsidR="00512903" w:rsidRPr="00AA3A63" w:rsidRDefault="00512903" w:rsidP="0043275F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Liiken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ne- ja viestintäministeriö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on 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>19.12.2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01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>8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pyytänyt geenitekniikan lautakunnalta 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>(GTLK) 8</w:t>
      </w:r>
      <w:r w:rsidR="00182B3A" w:rsidRPr="00AA3A63">
        <w:rPr>
          <w:rFonts w:ascii="Arial" w:hAnsi="Arial" w:cs="Arial"/>
          <w:color w:val="000000"/>
          <w:sz w:val="24"/>
          <w:szCs w:val="24"/>
          <w:lang w:val="fi-FI"/>
        </w:rPr>
        <w:t>.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>2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.201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>9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mennessä lausuntoa 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>arviomuistioluonnok</w:t>
      </w:r>
      <w:r w:rsidR="003507D7" w:rsidRPr="00AA3A63">
        <w:rPr>
          <w:rFonts w:ascii="Arial" w:hAnsi="Arial" w:cs="Arial"/>
          <w:color w:val="000000"/>
          <w:sz w:val="24"/>
          <w:szCs w:val="24"/>
          <w:lang w:val="fi-FI"/>
        </w:rPr>
        <w:t>s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>esta</w:t>
      </w:r>
      <w:r w:rsidR="003507D7" w:rsidRPr="00AA3A63">
        <w:rPr>
          <w:rFonts w:ascii="Arial" w:hAnsi="Arial" w:cs="Arial"/>
          <w:color w:val="000000"/>
          <w:sz w:val="24"/>
          <w:szCs w:val="24"/>
          <w:lang w:val="fi-FI"/>
        </w:rPr>
        <w:t>,</w:t>
      </w:r>
      <w:r w:rsidR="0043275F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joka koskee vaarallisten aineiden kuljetuksesta annetun lain kokonaisuudistusta. GTLK on tutustunut luonnokseen ja esittää lausuntonaan seuraavaa.</w:t>
      </w:r>
    </w:p>
    <w:p w:rsidR="00182B3A" w:rsidRPr="00AA3A63" w:rsidRDefault="00182B3A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8E02E1" w:rsidRPr="00AA3A63" w:rsidRDefault="0043275F" w:rsidP="009B768C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VAK-lain 3 §:n 1 momentin 1 kohdan mukaisesti lakia sovelletaan aineisiin, jotka räjähdys-, palo-, tartunta- tai säteilyvaarallisuutensa, myrkyllisyytensä, syövyttävyytensä taikka muun sellaisen ominaisuutensa vuoksi saattavat aiheuttaa vahinkoa ihmisille, ympäristölle tai omaisuudelle, mutta myös vaarallisiin muuntogeenisiin organismeihin (GMO) ja mikro-organismeihin (GMM). </w:t>
      </w:r>
      <w:r w:rsidR="00BF2F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VAK-lain nojalla annetuissa Traficomin määräyksissä GMO:ja </w:t>
      </w:r>
      <w:r w:rsidR="00324B0A" w:rsidRPr="00AA3A63">
        <w:rPr>
          <w:rFonts w:ascii="Arial" w:hAnsi="Arial" w:cs="Arial"/>
          <w:color w:val="000000"/>
          <w:sz w:val="24"/>
          <w:szCs w:val="24"/>
          <w:lang w:val="fi-FI"/>
        </w:rPr>
        <w:t>kuuluu</w:t>
      </w:r>
      <w:r w:rsidR="00BF2F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luok</w:t>
      </w:r>
      <w:r w:rsidR="00324B0A" w:rsidRPr="00AA3A63">
        <w:rPr>
          <w:rFonts w:ascii="Arial" w:hAnsi="Arial" w:cs="Arial"/>
          <w:color w:val="000000"/>
          <w:sz w:val="24"/>
          <w:szCs w:val="24"/>
          <w:lang w:val="fi-FI"/>
        </w:rPr>
        <w:t>kiin</w:t>
      </w:r>
      <w:r w:rsidR="00BF2F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6.1 (myrkylliset aineet), 6.2 (tartuntavaaralliset aineet) ja 9 (muut vaaralliset aineet ja esineet, aiheuttavat kuljetuksen aikana vaaran, jota ei ole mainittu muissa luokissa). Viimemainitussa</w:t>
      </w:r>
      <w:r w:rsidR="00324B0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luokassa</w:t>
      </w:r>
      <w:r w:rsidR="00BF2F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43104B" w:rsidRPr="00AA3A63">
        <w:rPr>
          <w:rFonts w:ascii="Arial" w:hAnsi="Arial" w:cs="Arial"/>
          <w:color w:val="000000"/>
          <w:sz w:val="24"/>
          <w:szCs w:val="24"/>
          <w:lang w:val="fi-FI"/>
        </w:rPr>
        <w:t>GMO:t</w:t>
      </w:r>
      <w:r w:rsidR="00BF2F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on jaoteltu ympäristövaarallisiin aineisiin (M8). </w:t>
      </w:r>
    </w:p>
    <w:p w:rsidR="008E02E1" w:rsidRPr="00AA3A63" w:rsidRDefault="008E02E1" w:rsidP="009B768C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8E5BDB" w:rsidRDefault="00BF2F4D" w:rsidP="0057798B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Geenitekniikkasäädöksissä </w:t>
      </w:r>
      <w:r w:rsidR="00C84D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GMO:ien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mahdollisia</w:t>
      </w:r>
      <w:r w:rsidR="00900CAF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haitallisi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a</w:t>
      </w:r>
      <w:r w:rsidR="00900CAF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ominaisuuksia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l</w:t>
      </w:r>
      <w:r w:rsidR="005527C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uetteloidaan geneettisesti muunnettujen organismien tarkoituksellisesta levittämisestä ympäristöön ja neuvoston direktiivin 90/220/ETY kumoamisesta annetun Euroopan parlamentin ja neuvoston </w:t>
      </w:r>
      <w:r w:rsidR="00900CAF" w:rsidRPr="00AA3A63">
        <w:rPr>
          <w:rFonts w:ascii="Arial" w:hAnsi="Arial" w:cs="Arial"/>
          <w:color w:val="000000"/>
          <w:sz w:val="24"/>
          <w:szCs w:val="24"/>
          <w:lang w:val="fi-FI"/>
        </w:rPr>
        <w:t>direktiivin 2001/18/EY liitteen II</w:t>
      </w:r>
      <w:r w:rsidR="00C84D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osiossa C.3.1.b ja GMM:ien haitallisia ominaisuuksia </w:t>
      </w:r>
      <w:r w:rsidR="005527C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geneettisesti muunnettujen mikro-organismien suljetusta käytöstä annetun Euroopan parlamentin ja neuvoston </w:t>
      </w:r>
      <w:r w:rsidR="00C84D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direktiivin 2009/41/EY liitteen II B-osassa. Kansallisessa lainsäädännössä </w:t>
      </w:r>
      <w:r w:rsidR="00A4221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haitallisista ominaisuuksista </w:t>
      </w:r>
      <w:r w:rsidR="00C84DEA" w:rsidRPr="00AA3A63">
        <w:rPr>
          <w:rFonts w:ascii="Arial" w:hAnsi="Arial" w:cs="Arial"/>
          <w:color w:val="000000"/>
          <w:sz w:val="24"/>
          <w:szCs w:val="24"/>
          <w:lang w:val="fi-FI"/>
        </w:rPr>
        <w:t>on säädetty GMM:ien osalta</w:t>
      </w:r>
      <w:r w:rsidR="005527C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muuntogeenisten mikro-organismien suljetun käytön riskinarvioinnin periaatteista, suljetun käytön luokituksesta sekä eristämis- ja muista suojatoimenpiteistä annetussa sosiaali- ja terveysministeriön asetuksessa (1053/2005) ja muuntogeenisten (GM) eläinten tapauksessa muuntogeenisten eläinten suljetun käytön riskinarvioinnin periaatteista, suljetun käytön luokituksesta sekä eristämis- ja muista suojatoimenpiteistä annetussa sosiaali- ja terveysministeriön asetuksessa (771/2014).</w:t>
      </w:r>
      <w:r w:rsidR="00900CAF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5A788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Haitallisten ominaisuuksien vakavuus ja todennäköisyys vaikuttaa </w:t>
      </w:r>
      <w:r w:rsidR="00A4221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kunkin </w:t>
      </w:r>
      <w:r w:rsidR="005A788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GMO:n riskitasoon, joka 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>voi olla</w:t>
      </w:r>
      <w:r w:rsidR="005A788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hyvinkin tapauskohtainen ja olosuhteista riippuvainen. </w:t>
      </w:r>
      <w:r w:rsidR="00D94AC5" w:rsidRPr="00AA3A63">
        <w:rPr>
          <w:rFonts w:ascii="Arial" w:hAnsi="Arial" w:cs="Arial"/>
          <w:color w:val="000000"/>
          <w:sz w:val="24"/>
          <w:szCs w:val="24"/>
          <w:lang w:val="fi-FI"/>
        </w:rPr>
        <w:t>Jokainen käyttäjä on</w:t>
      </w:r>
      <w:r w:rsidR="00A4221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siksi</w:t>
      </w:r>
      <w:r w:rsidR="00D94AC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geenitekniikkalain (377/1995) 8 §:n mukaan </w:t>
      </w:r>
      <w:r w:rsidR="00D94AC5" w:rsidRPr="00AA3A63">
        <w:rPr>
          <w:rFonts w:ascii="Arial" w:hAnsi="Arial" w:cs="Arial"/>
          <w:color w:val="000000"/>
          <w:sz w:val="24"/>
          <w:szCs w:val="24"/>
          <w:lang w:val="fi-FI"/>
        </w:rPr>
        <w:t>velvollinen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arvioimaan käyttämiensä GMO:ien riskit ennalta </w:t>
      </w:r>
      <w:r w:rsidR="00AA31F8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käytön </w:t>
      </w:r>
      <w:r w:rsidR="0043104B" w:rsidRPr="00AA3A63">
        <w:rPr>
          <w:rFonts w:ascii="Arial" w:hAnsi="Arial" w:cs="Arial"/>
          <w:color w:val="000000"/>
          <w:sz w:val="24"/>
          <w:szCs w:val="24"/>
          <w:lang w:val="fi-FI"/>
        </w:rPr>
        <w:t>riski</w:t>
      </w:r>
      <w:r w:rsidR="00D94AC5" w:rsidRPr="00AA3A63">
        <w:rPr>
          <w:rFonts w:ascii="Arial" w:hAnsi="Arial" w:cs="Arial"/>
          <w:color w:val="000000"/>
          <w:sz w:val="24"/>
          <w:szCs w:val="24"/>
          <w:lang w:val="fi-FI"/>
        </w:rPr>
        <w:t>luokittelua</w:t>
      </w:r>
      <w:r w:rsidR="003507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varten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  <w:r w:rsidR="002358B6" w:rsidRPr="00AA3A63">
        <w:rPr>
          <w:rFonts w:ascii="Arial" w:hAnsi="Arial" w:cs="Arial"/>
          <w:color w:val="000000"/>
          <w:sz w:val="24"/>
          <w:szCs w:val="24"/>
          <w:lang w:val="fi-FI"/>
        </w:rPr>
        <w:t>Geenitekniikkalain r</w:t>
      </w:r>
      <w:r w:rsidR="00AA31F8" w:rsidRPr="00AA3A63">
        <w:rPr>
          <w:rFonts w:ascii="Arial" w:hAnsi="Arial" w:cs="Arial"/>
          <w:color w:val="000000"/>
          <w:sz w:val="24"/>
          <w:szCs w:val="24"/>
          <w:lang w:val="fi-FI"/>
        </w:rPr>
        <w:t>iskinarviointivelvoite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43104B" w:rsidRPr="00AA3A63">
        <w:rPr>
          <w:rFonts w:ascii="Arial" w:hAnsi="Arial" w:cs="Arial"/>
          <w:color w:val="000000"/>
          <w:sz w:val="24"/>
          <w:szCs w:val="24"/>
          <w:lang w:val="fi-FI"/>
        </w:rPr>
        <w:t>sekä</w:t>
      </w:r>
      <w:r w:rsidR="002358B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sen</w:t>
      </w:r>
      <w:r w:rsidR="0043104B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huolellisuus- ja selvilläolovelvoitteet</w:t>
      </w:r>
      <w:r w:rsidR="00184C31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>koske</w:t>
      </w:r>
      <w:r w:rsidR="0043104B" w:rsidRPr="00AA3A63">
        <w:rPr>
          <w:rFonts w:ascii="Arial" w:hAnsi="Arial" w:cs="Arial"/>
          <w:color w:val="000000"/>
          <w:sz w:val="24"/>
          <w:szCs w:val="24"/>
          <w:lang w:val="fi-FI"/>
        </w:rPr>
        <w:t>vat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myös </w:t>
      </w:r>
      <w:r w:rsidR="00AA31F8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GMO:ien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>kuljetuksia</w:t>
      </w:r>
      <w:r w:rsidR="00324B0A" w:rsidRPr="00AA3A63">
        <w:rPr>
          <w:rFonts w:ascii="Arial" w:hAnsi="Arial" w:cs="Arial"/>
          <w:color w:val="000000"/>
          <w:sz w:val="24"/>
          <w:szCs w:val="24"/>
          <w:lang w:val="fi-FI"/>
        </w:rPr>
        <w:t>. Toisaalta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geenitekniikkalain </w:t>
      </w:r>
      <w:r w:rsidR="00FC1DA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mukaiset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ilmoitus- ja hakemusmenettelyt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eivät koske </w:t>
      </w:r>
      <w:r w:rsidR="0043104B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GMO:ien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>kuljetuksia</w:t>
      </w:r>
      <w:r w:rsidR="00FC1DA3" w:rsidRPr="00AA3A63">
        <w:rPr>
          <w:rFonts w:ascii="Arial" w:hAnsi="Arial" w:cs="Arial"/>
          <w:color w:val="000000"/>
          <w:sz w:val="24"/>
          <w:szCs w:val="24"/>
          <w:lang w:val="fi-FI"/>
        </w:rPr>
        <w:t>. Koska kuljetustilanteet ovat geenitekniikkalain 3 §:n 1 momentin  5 kohdan määritelmän mukaisesti käyttöä suljetussa tilassa</w:t>
      </w:r>
      <w:r w:rsidR="00A24D5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</w:p>
    <w:p w:rsidR="004364D6" w:rsidRPr="00AA3A63" w:rsidRDefault="00A24D5C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lastRenderedPageBreak/>
        <w:t>(”siirtämistä”)</w:t>
      </w:r>
      <w:r w:rsidR="00FC1DA3" w:rsidRPr="00AA3A63">
        <w:rPr>
          <w:rFonts w:ascii="Arial" w:hAnsi="Arial" w:cs="Arial"/>
          <w:color w:val="000000"/>
          <w:sz w:val="24"/>
          <w:szCs w:val="24"/>
          <w:lang w:val="fi-FI"/>
        </w:rPr>
        <w:t>, kuljetukset kuuluvat suljetun käytön valvontaviranomaisen (tällä hetkellä Valviran) toimialaan.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FC1DA3" w:rsidRPr="00AA3A63">
        <w:rPr>
          <w:rFonts w:ascii="Arial" w:hAnsi="Arial" w:cs="Arial"/>
          <w:color w:val="000000"/>
          <w:sz w:val="24"/>
          <w:szCs w:val="24"/>
          <w:lang w:val="fi-FI"/>
        </w:rPr>
        <w:t>Geenitekniikka</w:t>
      </w:r>
      <w:r w:rsidR="00E31F8A">
        <w:rPr>
          <w:rFonts w:ascii="Arial" w:hAnsi="Arial" w:cs="Arial"/>
          <w:color w:val="000000"/>
          <w:sz w:val="24"/>
          <w:szCs w:val="24"/>
          <w:lang w:val="fi-FI"/>
        </w:rPr>
        <w:t xml:space="preserve">lain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>23 §:ssä mainit</w:t>
      </w:r>
      <w:r w:rsidR="00FC1DA3" w:rsidRPr="00AA3A63">
        <w:rPr>
          <w:rFonts w:ascii="Arial" w:hAnsi="Arial" w:cs="Arial"/>
          <w:color w:val="000000"/>
          <w:sz w:val="24"/>
          <w:szCs w:val="24"/>
          <w:lang w:val="fi-FI"/>
        </w:rPr>
        <w:t>uissa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erityistilantei</w:t>
      </w:r>
      <w:r w:rsidR="00FC1DA3" w:rsidRPr="00AA3A63">
        <w:rPr>
          <w:rFonts w:ascii="Arial" w:hAnsi="Arial" w:cs="Arial"/>
          <w:color w:val="000000"/>
          <w:sz w:val="24"/>
          <w:szCs w:val="24"/>
          <w:lang w:val="fi-FI"/>
        </w:rPr>
        <w:t>ss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>a</w:t>
      </w:r>
      <w:r w:rsidR="00FC1DA3" w:rsidRPr="00AA3A63">
        <w:rPr>
          <w:rFonts w:ascii="Arial" w:hAnsi="Arial" w:cs="Arial"/>
          <w:color w:val="000000"/>
          <w:sz w:val="24"/>
          <w:szCs w:val="24"/>
          <w:lang w:val="fi-FI"/>
        </w:rPr>
        <w:t>, joissa on kyse merkittävän ympäristöhaitan ehkäisemisestä ja korjaamisesta, GTLK:lla on velvoite ryhtyä toimenpiteisiin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</w:p>
    <w:p w:rsidR="005527C2" w:rsidRPr="00AA3A63" w:rsidRDefault="005527C2" w:rsidP="00E31F8A">
      <w:pPr>
        <w:pStyle w:val="stmnormaali0"/>
        <w:ind w:left="1304"/>
        <w:rPr>
          <w:rFonts w:ascii="Arial" w:hAnsi="Arial" w:cs="Arial"/>
          <w:sz w:val="24"/>
          <w:szCs w:val="24"/>
        </w:rPr>
      </w:pPr>
    </w:p>
    <w:p w:rsidR="0096264E" w:rsidRPr="00AA3A63" w:rsidRDefault="0043104B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Arviomuistioluonnoksen osiossa 2.1. kuvataan toimintaympäristön muutoksia.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 haluaa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>muistuttaa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että VAK-laki koskee </w:t>
      </w:r>
      <w:r w:rsidR="0092037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myös 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>muuntogeenisiä taudinaiheuttajia, joiden kuljetu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ksessa 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>to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imintaympäristön muutokset on huomioitava</w:t>
      </w:r>
      <w:r w:rsidR="00F9608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Kuljetustapojen ja/tai logistiikan muuttuminen miehittämättömiksi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voisi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toisaalta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vähentää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kuljettajien altistumista taudinaiheuttajille, mutta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toisi toisaalta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>onnettomuustapauksissa haaste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>ita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riskinhallintatoimien ja välittömien korjaavien toimenpiteiden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>toteuttamise</w:t>
      </w:r>
      <w:r w:rsidR="003507D7" w:rsidRPr="00AA3A63">
        <w:rPr>
          <w:rFonts w:ascii="Arial" w:hAnsi="Arial" w:cs="Arial"/>
          <w:color w:val="000000"/>
          <w:sz w:val="24"/>
          <w:szCs w:val="24"/>
          <w:lang w:val="fi-FI"/>
        </w:rPr>
        <w:t>lle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  <w:r w:rsidR="00E71D90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Pakkauksen rikkoutuminen ja korjaavien toimenpiteiden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epäonnistuminen tai viivästyminen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saattaisi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johtaa ihmisten, eläinten tai ympäristön altistumiseen taudinaiheuttajille. On myös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muistettava </w:t>
      </w:r>
      <w:r w:rsidR="00A4221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sekä bioturvallisuuteen (biosafety) että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>bioturvaamiseen (biosecurity) liittyvät riskit, jos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vaaralliset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taudinaiheuttajat joutuisivat kuljetuksissa </w:t>
      </w:r>
      <w:r w:rsidR="00A4221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tai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kuljetusonnettomuuksissa </w:t>
      </w:r>
      <w:r w:rsidR="00A4221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taitamattomiin tai vihamielisiin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käsiin.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Molemmissa tapauksissa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>digitalisaation edistyminen helpottaa lähetysten ajantasaista seurantaa ja vaikeuttaa asiakirj</w:t>
      </w:r>
      <w:r w:rsidR="00F46C2D" w:rsidRPr="00AA3A63">
        <w:rPr>
          <w:rFonts w:ascii="Arial" w:hAnsi="Arial" w:cs="Arial"/>
          <w:color w:val="000000"/>
          <w:sz w:val="24"/>
          <w:szCs w:val="24"/>
          <w:lang w:val="fi-FI"/>
        </w:rPr>
        <w:t>ojen väärentämistä k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>uljetusketjussa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>, mutta asettaa omat haasteensa tietojen julkisuudelle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>. VAK-lakia uusittaessa tulisikin tarkkaan harkita, tulisiko tartuntavaarallisten organismien kuljetus miehittämättömissä aluksissa sallia</w:t>
      </w:r>
      <w:r w:rsidR="00E71D90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ja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>millä edellytyksillä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>,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ja miten mahdollisia </w:t>
      </w:r>
      <w:r w:rsidR="00045F6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kuljetustapahtumaan ja tietoturvaan liittyviä </w:t>
      </w:r>
      <w:r w:rsidR="005C25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riskejä voitaisiin hallita. </w:t>
      </w:r>
      <w:r w:rsidR="0096264E" w:rsidRPr="00AA3A63">
        <w:rPr>
          <w:rFonts w:ascii="Arial" w:hAnsi="Arial" w:cs="Arial"/>
          <w:color w:val="000000"/>
          <w:sz w:val="24"/>
          <w:szCs w:val="24"/>
          <w:lang w:val="fi-FI"/>
        </w:rPr>
        <w:t>Euroopan unionin hankkeella ajoneuvojen automaattisen hätäviestipalvelun (eCall) ulottamisesta raskaaseen liikenteeseen olisi varmasti osaltaan myönteisiä vaikutuksia näidenkin kuljetusten liikenneturvallisuuteen.</w:t>
      </w:r>
    </w:p>
    <w:p w:rsidR="0096264E" w:rsidRPr="00AA3A63" w:rsidRDefault="0096264E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46337C" w:rsidRPr="00AA3A63" w:rsidRDefault="0096264E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Lausuntopyynnön kysymyksessä 1 pyydetään näkemystä siitä, mitä tietoja vaarallisten aineiden kuljetuksista olisi annettava nykyistä laajemmin esimerkiksi viranomaisille tai liikenteen ohjaus- ja hallintapalveluiden tarjoajille ja toisille toimijoille kuljetusketjuissa, jotta kuljetusten turvallista sujumista voitaisiin parantaa. </w:t>
      </w:r>
      <w:r w:rsidR="00784DC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Nykyisen geenitekniikkalain mukaan toiminnanharjoittajalla ei ole velvollisuutta ilmoittaa GMO:ien kuljetuksista GTLK:lle lukuunottamatta tilannetta, jossa kysymys on rajat ylittävistä kuljetuksista, kun GMO:ja aiotaan levittää tarkoituksellisesti ympäristöön.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GTLK katsoo</w:t>
      </w:r>
      <w:r w:rsidR="00A24D5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784DC9" w:rsidRPr="00AA3A63">
        <w:rPr>
          <w:rFonts w:ascii="Arial" w:hAnsi="Arial" w:cs="Arial"/>
          <w:color w:val="000000"/>
          <w:sz w:val="24"/>
          <w:szCs w:val="24"/>
          <w:lang w:val="fi-FI"/>
        </w:rPr>
        <w:t>kuitenkin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että </w:t>
      </w:r>
      <w:r w:rsidR="00784DC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VAK-lakia uudistettaessa olisi syytä keskustella siitä, onko tarvetta tiedottaa geenitekniikkalain mukaisia viranomaisia </w:t>
      </w:r>
      <w:r w:rsidR="00920377" w:rsidRPr="00AA3A63">
        <w:rPr>
          <w:rFonts w:ascii="Arial" w:hAnsi="Arial" w:cs="Arial"/>
          <w:color w:val="000000"/>
          <w:sz w:val="24"/>
          <w:szCs w:val="24"/>
          <w:lang w:val="fi-FI"/>
        </w:rPr>
        <w:t>ihmisten ja eläinten terveyden tai ympäristön kannalta vaarallis</w:t>
      </w:r>
      <w:r w:rsidR="0090797A" w:rsidRPr="00AA3A63">
        <w:rPr>
          <w:rFonts w:ascii="Arial" w:hAnsi="Arial" w:cs="Arial"/>
          <w:color w:val="000000"/>
          <w:sz w:val="24"/>
          <w:szCs w:val="24"/>
          <w:lang w:val="fi-FI"/>
        </w:rPr>
        <w:t>ten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GM-kasvien</w:t>
      </w:r>
      <w:r w:rsidR="0090797A" w:rsidRPr="00AA3A63">
        <w:rPr>
          <w:rFonts w:ascii="Arial" w:hAnsi="Arial" w:cs="Arial"/>
          <w:color w:val="000000"/>
          <w:sz w:val="24"/>
          <w:szCs w:val="24"/>
          <w:lang w:val="fi-FI"/>
        </w:rPr>
        <w:t>,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mikro-organismien </w:t>
      </w:r>
      <w:r w:rsidR="0090797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tai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eläinten kuljetuksista</w:t>
      </w:r>
      <w:r w:rsidR="001A37CA" w:rsidRPr="00AA3A63">
        <w:rPr>
          <w:rFonts w:ascii="Arial" w:hAnsi="Arial" w:cs="Arial"/>
          <w:color w:val="000000"/>
          <w:sz w:val="24"/>
          <w:szCs w:val="24"/>
          <w:lang w:val="fi-FI"/>
        </w:rPr>
        <w:t>.</w:t>
      </w:r>
      <w:r w:rsidR="0092037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2358B6" w:rsidRPr="00AA3A63">
        <w:rPr>
          <w:rFonts w:ascii="Arial" w:hAnsi="Arial" w:cs="Arial"/>
          <w:color w:val="000000"/>
          <w:sz w:val="24"/>
          <w:szCs w:val="24"/>
          <w:lang w:val="fi-FI"/>
        </w:rPr>
        <w:t>GMO-kuljetusten o</w:t>
      </w:r>
      <w:r w:rsidR="0046337C" w:rsidRPr="00AA3A63">
        <w:rPr>
          <w:rFonts w:ascii="Arial" w:hAnsi="Arial" w:cs="Arial"/>
          <w:color w:val="000000"/>
          <w:sz w:val="24"/>
          <w:szCs w:val="24"/>
          <w:lang w:val="fi-FI"/>
        </w:rPr>
        <w:t>nnettomuustapauksis</w:t>
      </w:r>
      <w:r w:rsidR="00971ADC" w:rsidRPr="00AA3A63">
        <w:rPr>
          <w:rFonts w:ascii="Arial" w:hAnsi="Arial" w:cs="Arial"/>
          <w:color w:val="000000"/>
          <w:sz w:val="24"/>
          <w:szCs w:val="24"/>
          <w:lang w:val="fi-FI"/>
        </w:rPr>
        <w:t>t</w:t>
      </w:r>
      <w:r w:rsidR="0046337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a tulisi </w:t>
      </w:r>
      <w:r w:rsidR="0090797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aina </w:t>
      </w:r>
      <w:r w:rsidR="003507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46337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tiedottaa </w:t>
      </w:r>
      <w:r w:rsidR="00971AD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viipymättä </w:t>
      </w:r>
      <w:r w:rsidR="0090797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myös </w:t>
      </w:r>
      <w:r w:rsidR="0046337C" w:rsidRPr="00AA3A63">
        <w:rPr>
          <w:rFonts w:ascii="Arial" w:hAnsi="Arial" w:cs="Arial"/>
          <w:color w:val="000000"/>
          <w:sz w:val="24"/>
          <w:szCs w:val="24"/>
          <w:lang w:val="fi-FI"/>
        </w:rPr>
        <w:t>geenitekniikan lautakun</w:t>
      </w:r>
      <w:r w:rsidR="00971ADC" w:rsidRPr="00AA3A63">
        <w:rPr>
          <w:rFonts w:ascii="Arial" w:hAnsi="Arial" w:cs="Arial"/>
          <w:color w:val="000000"/>
          <w:sz w:val="24"/>
          <w:szCs w:val="24"/>
          <w:lang w:val="fi-FI"/>
        </w:rPr>
        <w:t>nalle</w:t>
      </w:r>
      <w:r w:rsidR="0046337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  <w:r w:rsidR="00971ADC" w:rsidRPr="00AA3A63">
        <w:rPr>
          <w:rFonts w:ascii="Arial" w:hAnsi="Arial" w:cs="Arial"/>
          <w:color w:val="000000"/>
          <w:sz w:val="24"/>
          <w:szCs w:val="24"/>
          <w:lang w:val="fi-FI"/>
        </w:rPr>
        <w:t>Geenitekniik</w:t>
      </w:r>
      <w:r w:rsidR="00AA31F8" w:rsidRPr="00AA3A63">
        <w:rPr>
          <w:rFonts w:ascii="Arial" w:hAnsi="Arial" w:cs="Arial"/>
          <w:color w:val="000000"/>
          <w:sz w:val="24"/>
          <w:szCs w:val="24"/>
          <w:lang w:val="fi-FI"/>
        </w:rPr>
        <w:t>an lupa- ja valvontaviranomaisten</w:t>
      </w:r>
      <w:r w:rsidR="00971AD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on 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>niin ikään</w:t>
      </w:r>
      <w:r w:rsidR="00971AD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tärkeää saada tietoa epäonnistuneista pakkausratkaisuista, jotta toiminnanharjoittajien ohjeistusta voidaan tarvittaessa</w:t>
      </w:r>
      <w:r w:rsidR="007D20F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parantaa.</w:t>
      </w:r>
      <w:r w:rsidR="00E31F8A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B22212" w:rsidRPr="00AA3A63">
        <w:rPr>
          <w:rFonts w:ascii="Arial" w:hAnsi="Arial" w:cs="Arial"/>
          <w:color w:val="000000"/>
          <w:sz w:val="24"/>
          <w:szCs w:val="24"/>
          <w:lang w:val="fi-FI"/>
        </w:rPr>
        <w:t>Koska VAK-kuljetuksissa on tyypillisesti useita välikäsiä, e</w:t>
      </w:r>
      <w:r w:rsidR="007D20FD" w:rsidRPr="00AA3A63">
        <w:rPr>
          <w:rFonts w:ascii="Arial" w:hAnsi="Arial" w:cs="Arial"/>
          <w:color w:val="000000"/>
          <w:sz w:val="24"/>
          <w:szCs w:val="24"/>
          <w:lang w:val="fi-FI"/>
        </w:rPr>
        <w:t>räs keskeinen kysymys</w:t>
      </w:r>
      <w:r w:rsidR="00B2221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eri tahoille jaettavien tietojen lisäksi on luonnollisesti myös</w:t>
      </w:r>
      <w:r w:rsidR="003507D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se</w:t>
      </w:r>
      <w:r w:rsidR="00B2221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miten varmistetaan relevanttien </w:t>
      </w:r>
      <w:r w:rsidR="007D20FD" w:rsidRPr="00AA3A63">
        <w:rPr>
          <w:rFonts w:ascii="Arial" w:hAnsi="Arial" w:cs="Arial"/>
          <w:color w:val="000000"/>
          <w:sz w:val="24"/>
          <w:szCs w:val="24"/>
          <w:lang w:val="fi-FI"/>
        </w:rPr>
        <w:t>tie</w:t>
      </w:r>
      <w:r w:rsidR="00B2221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tojen </w:t>
      </w:r>
      <w:r w:rsidR="007D20FD" w:rsidRPr="00AA3A63">
        <w:rPr>
          <w:rFonts w:ascii="Arial" w:hAnsi="Arial" w:cs="Arial"/>
          <w:color w:val="000000"/>
          <w:sz w:val="24"/>
          <w:szCs w:val="24"/>
          <w:lang w:val="fi-FI"/>
        </w:rPr>
        <w:t>säily</w:t>
      </w:r>
      <w:r w:rsidR="00B2221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minen läpi </w:t>
      </w:r>
      <w:r w:rsidR="007D20FD" w:rsidRPr="00AA3A63">
        <w:rPr>
          <w:rFonts w:ascii="Arial" w:hAnsi="Arial" w:cs="Arial"/>
          <w:color w:val="000000"/>
          <w:sz w:val="24"/>
          <w:szCs w:val="24"/>
          <w:lang w:val="fi-FI"/>
        </w:rPr>
        <w:t>kuljetusketjun.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GTLK katsoo, että toimiv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at 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>ratkaisu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>t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2358B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tiedonkulun järjestämisessä </w:t>
      </w:r>
      <w:r w:rsidR="004C7EE0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GMO-kuljetusten osalta 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>edellyttä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>vät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hyvää yhteistyötä 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lastRenderedPageBreak/>
        <w:t xml:space="preserve">keskeisimpien ministeriöiden eli LVM:n, STM:n ja YM:n </w:t>
      </w:r>
      <w:r w:rsidR="004C7EE0" w:rsidRPr="00AA3A63">
        <w:rPr>
          <w:rFonts w:ascii="Arial" w:hAnsi="Arial" w:cs="Arial"/>
          <w:color w:val="000000"/>
          <w:sz w:val="24"/>
          <w:szCs w:val="24"/>
          <w:lang w:val="fi-FI"/>
        </w:rPr>
        <w:t>ja niiden alaisten</w:t>
      </w:r>
      <w:r w:rsidR="00184C31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virastojen,</w:t>
      </w:r>
      <w:r w:rsidR="004C7EE0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laitosten</w:t>
      </w:r>
      <w:r w:rsidR="00184C31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ja muiden viranomaisten kuten GTLK:n</w:t>
      </w:r>
      <w:r w:rsidR="004C7EE0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>välillä.</w:t>
      </w:r>
    </w:p>
    <w:p w:rsidR="00A24D5C" w:rsidRPr="00AA3A63" w:rsidRDefault="00A24D5C" w:rsidP="00057E71">
      <w:pPr>
        <w:pStyle w:val="stmnormaali0"/>
        <w:ind w:left="1304"/>
        <w:rPr>
          <w:rFonts w:ascii="Arial" w:hAnsi="Arial" w:cs="Arial"/>
          <w:sz w:val="24"/>
          <w:szCs w:val="24"/>
        </w:rPr>
      </w:pPr>
    </w:p>
    <w:p w:rsidR="00AA31F8" w:rsidRPr="00AA3A63" w:rsidRDefault="0046337C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Lausuntopyynnön kysymyksessä </w:t>
      </w:r>
      <w:r w:rsidR="0096264E" w:rsidRPr="00AA3A63">
        <w:rPr>
          <w:rFonts w:ascii="Arial" w:hAnsi="Arial" w:cs="Arial"/>
          <w:color w:val="000000"/>
          <w:sz w:val="24"/>
          <w:szCs w:val="24"/>
          <w:lang w:val="fi-FI"/>
        </w:rPr>
        <w:t>2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tiedustellaan, m</w:t>
      </w:r>
      <w:r w:rsidR="0096264E" w:rsidRPr="00AA3A63">
        <w:rPr>
          <w:rFonts w:ascii="Arial" w:hAnsi="Arial" w:cs="Arial"/>
          <w:color w:val="000000"/>
          <w:sz w:val="24"/>
          <w:szCs w:val="24"/>
          <w:lang w:val="fi-FI"/>
        </w:rPr>
        <w:t>iten tietojenvaihto voitaisiin teknisesti toteuttaa niin, että päästäisiin mahdollisimman automatisoituun ja reaaliaikaiseen toimintaan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. Geenitekniikkaviranomaisten asiakirjanhallintajärjestelmänä toimivaa geenitekniikan rekisteriä on tarkoitus uudistaa lähiaikoina interaktiiviseksi järjestelmäksi, johon paitsi toiminnanharjoittajat, myös eri viranomaiset pääsevät syöttämään relevantteja tietoja. Rekisterin hyödyntämistä myös VAK-kuljetuksiin kiireettömissä tilanteissa voitaisiin tässä yhteydessä tarkastella. Kiireellinen tiedottaminen onnettomuustapauksissa pitäisi kuitenkin hoitaa joko valtioneuvoston päivystyksen avulla tai tekstiviestinä</w:t>
      </w:r>
      <w:r w:rsidR="00AA31F8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geenitekniikan lautakunnan nimeämille yhteyshenkilöille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</w:p>
    <w:p w:rsidR="00AA31F8" w:rsidRPr="00AA3A63" w:rsidRDefault="00AA31F8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87196F" w:rsidRPr="00AA3A63" w:rsidRDefault="004C13D8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GTLK:lla ei ole lausuttavaa 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lausuntopyynnön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kysymyksi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in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3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ja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4</w:t>
      </w:r>
      <w:r w:rsidR="00F73BA8" w:rsidRPr="00AA3A63">
        <w:rPr>
          <w:rFonts w:ascii="Arial" w:hAnsi="Arial" w:cs="Arial"/>
          <w:color w:val="000000"/>
          <w:sz w:val="24"/>
          <w:szCs w:val="24"/>
          <w:lang w:val="fi-FI"/>
        </w:rPr>
        <w:t>,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jotka koskevat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>asetuksen- ja määräystenantovaltuuksia  ja ns. Suomi-lisiä. Kysymy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>s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5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koskee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normikehik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on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selkeyt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tämistä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ja yksinkertaist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>amista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 haluaa muistuttaa 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Suomen ja EU:n solmimista 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>kansainvälisistä sopimuksista,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kuten Cartagenan bioturvallisuuspöytäkirjasta,</w:t>
      </w:r>
      <w:r w:rsidR="00CA074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jotka rajoittavat mahdollista norminpurkua elävien GMO:ien rajat ylittävien kuljetusten osalta.</w:t>
      </w:r>
      <w:r w:rsidR="004C7EE0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784DC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 toimii geenitekniikkalain (377/1995) 5 a §:n mukaisesti muuntogeenisten organismien valtioiden rajat ylittävistä siirroista annetussa </w:t>
      </w:r>
      <w:r w:rsidR="00184C31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Euroopan parlamentin ja neuvoston </w:t>
      </w:r>
      <w:r w:rsidR="00784DC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asetuksessa (EY) N:o 1946/2003 tarkoitettuna toimivaltaisena viranomaisena, kun GMO:t on tarkoitettu levitettäväksi ympäristöön (kenttäkokeet). </w:t>
      </w:r>
      <w:r w:rsidR="004C7EE0" w:rsidRPr="00AA3A63">
        <w:rPr>
          <w:rFonts w:ascii="Arial" w:hAnsi="Arial" w:cs="Arial"/>
          <w:color w:val="000000"/>
          <w:sz w:val="24"/>
          <w:szCs w:val="24"/>
          <w:lang w:val="fi-FI"/>
        </w:rPr>
        <w:t>Mahdolliset VAK-lain muutokset GMO:ien osalta onkin sovitettava yhteen Cartagenan bioturvallisuuspöytäkirjan vaatimusten kanssa.</w:t>
      </w:r>
    </w:p>
    <w:p w:rsidR="00A24D5C" w:rsidRPr="00AA3A63" w:rsidRDefault="00A24D5C" w:rsidP="00E31F8A">
      <w:pPr>
        <w:pStyle w:val="stmnormaali0"/>
        <w:ind w:left="1304"/>
        <w:rPr>
          <w:rFonts w:ascii="Arial" w:hAnsi="Arial" w:cs="Arial"/>
          <w:sz w:val="24"/>
          <w:szCs w:val="24"/>
        </w:rPr>
      </w:pPr>
    </w:p>
    <w:p w:rsidR="00512903" w:rsidRPr="00AA3A63" w:rsidRDefault="0087196F" w:rsidP="004364D6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Lausuntopyynnön kysymyksessä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6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tiedustellaan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,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onko VAK-lain soveltamisala selkeä ja täsmällinen ja jollei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ole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miten sitä tulisi uudistaa. GTLK on jo </w:t>
      </w:r>
      <w:r w:rsidR="00182B3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aiemmissa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VAK-säädöksiä koskevissa </w:t>
      </w:r>
      <w:r w:rsidR="00182B3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lausunnoissaan 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>tuo</w:t>
      </w:r>
      <w:r w:rsidR="005D6B85" w:rsidRPr="00AA3A63">
        <w:rPr>
          <w:rFonts w:ascii="Arial" w:hAnsi="Arial" w:cs="Arial"/>
          <w:color w:val="000000"/>
          <w:sz w:val="24"/>
          <w:szCs w:val="24"/>
          <w:lang w:val="fi-FI"/>
        </w:rPr>
        <w:t>nut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esiin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VAK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>-säädö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sten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ongelmia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, jotka liittyvät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EU:n geenitekniikkasäädösten ja 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VAK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>-säädösten yhteensovittamise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en. Ongelmat 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koskevat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sekä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GMO:ja koskevien 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VAK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-säädösten 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soveltamisalaa 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että 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luokittelua, joita tulisi 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>selkeyttä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ä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erityisesti siltä osin, mitkä GMO:t kuuluvat VAK-luokkaan 9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. Nykyisellään GMO:n vaarallisuuden luokittelu on GMO:n lähettäjän vastuulla, eikä siihen ole VAK-säädösten piirissä riittäv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>iä kriteerejä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tartuntavaarallisia GMM:iä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lukuunottamatta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>. Tä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stä syystä 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lähettäjillä ja kuljetusyrityksillä on ollut erilaisia </w:t>
      </w:r>
      <w:r w:rsidR="00043440" w:rsidRPr="00AA3A63">
        <w:rPr>
          <w:rFonts w:ascii="Arial" w:hAnsi="Arial" w:cs="Arial"/>
          <w:color w:val="000000"/>
          <w:sz w:val="24"/>
          <w:szCs w:val="24"/>
          <w:lang w:val="fi-FI"/>
        </w:rPr>
        <w:t>tulkintoja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GMO:ien kuljettamise</w:t>
      </w:r>
      <w:r w:rsidR="00043440" w:rsidRPr="00AA3A63">
        <w:rPr>
          <w:rFonts w:ascii="Arial" w:hAnsi="Arial" w:cs="Arial"/>
          <w:color w:val="000000"/>
          <w:sz w:val="24"/>
          <w:szCs w:val="24"/>
          <w:lang w:val="fi-FI"/>
        </w:rPr>
        <w:t>en liittyvistä määräyksistä</w:t>
      </w:r>
      <w:r w:rsidR="004364D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Täsmentämättä 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>VAK-lain soveltamisala</w:t>
      </w:r>
      <w:r w:rsidR="00D34406" w:rsidRPr="00AA3A63">
        <w:rPr>
          <w:rFonts w:ascii="Arial" w:hAnsi="Arial" w:cs="Arial"/>
          <w:color w:val="000000"/>
          <w:sz w:val="24"/>
          <w:szCs w:val="24"/>
          <w:lang w:val="fi-FI"/>
        </w:rPr>
        <w:t>a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>(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>esimerkiksi lausunnossa aiemmin mainittujen GMO-säädösten haitallisuuskriteerien avulla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>)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ei </w:t>
      </w:r>
      <w:r w:rsidR="00E01181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mahdollisesti 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tarpeettomia kotimaisia normeja </w:t>
      </w:r>
      <w:r w:rsidR="0089042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voida purkaa GMO:ien osalta 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eikä 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myöskään 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>laatia k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>äytännönlähei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stä 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>ohjeistus</w:t>
      </w:r>
      <w:r w:rsidR="001E35EA" w:rsidRPr="00AA3A63">
        <w:rPr>
          <w:rFonts w:ascii="Arial" w:hAnsi="Arial" w:cs="Arial"/>
          <w:color w:val="000000"/>
          <w:sz w:val="24"/>
          <w:szCs w:val="24"/>
          <w:lang w:val="fi-FI"/>
        </w:rPr>
        <w:t>ta</w:t>
      </w:r>
      <w:r w:rsidR="0051290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GMO:ien kuljetuksesta käyttäjille, huolitsijoille ja viranomaisille. 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Lakiin on toki kirjattu Traficomille tarvittavat määräyksenantovaltuudet, mutta toistaiseksi 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>virastolla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ei ole ollut resursseja paneutua </w:t>
      </w:r>
      <w:r w:rsidR="00A80AEF" w:rsidRPr="00AA3A63">
        <w:rPr>
          <w:rFonts w:ascii="Arial" w:hAnsi="Arial" w:cs="Arial"/>
          <w:color w:val="000000"/>
          <w:sz w:val="24"/>
          <w:szCs w:val="24"/>
          <w:lang w:val="fi-FI"/>
        </w:rPr>
        <w:t>VAK- ja GMO-s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äädösten </w:t>
      </w:r>
      <w:r w:rsidR="00A80AEF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rajapintojen selkiyttämiseen. Tämä vaatisi paitsi eri intressitahojen näkemysten yhteensovittamista, myös 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pitkäjänteistä 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lastRenderedPageBreak/>
        <w:t>vaikuttamista sekä kansainvälis</w:t>
      </w:r>
      <w:r w:rsidR="00A80AEF" w:rsidRPr="00AA3A63">
        <w:rPr>
          <w:rFonts w:ascii="Arial" w:hAnsi="Arial" w:cs="Arial"/>
          <w:color w:val="000000"/>
          <w:sz w:val="24"/>
          <w:szCs w:val="24"/>
          <w:lang w:val="fi-FI"/>
        </w:rPr>
        <w:t>iin sopimuksiin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että EU</w:t>
      </w:r>
      <w:r w:rsidR="00A80AEF" w:rsidRPr="00AA3A63">
        <w:rPr>
          <w:rFonts w:ascii="Arial" w:hAnsi="Arial" w:cs="Arial"/>
          <w:color w:val="000000"/>
          <w:sz w:val="24"/>
          <w:szCs w:val="24"/>
          <w:lang w:val="fi-FI"/>
        </w:rPr>
        <w:t>-sääntelyyn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. 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>Rajapintojen tarkastelu</w:t>
      </w:r>
      <w:r w:rsidR="001A2FD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on monen toimijan käsissä, mutta GTLK on mielellään käytettävissä keskusteluissa.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</w:p>
    <w:p w:rsidR="00512903" w:rsidRPr="00AA3A63" w:rsidRDefault="00512903" w:rsidP="00512903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AC586E" w:rsidRPr="00AA3A63" w:rsidRDefault="00043440" w:rsidP="00AC586E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GTLK:lla ei ole huomautet</w:t>
      </w:r>
      <w:r w:rsidR="00D37829" w:rsidRPr="00AA3A63">
        <w:rPr>
          <w:rFonts w:ascii="Arial" w:hAnsi="Arial" w:cs="Arial"/>
          <w:color w:val="000000"/>
          <w:sz w:val="24"/>
          <w:szCs w:val="24"/>
          <w:lang w:val="fi-FI"/>
        </w:rPr>
        <w:t>t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avaa kysymyksiin 7 ja 8, jotka koskevat lain rakennetta</w:t>
      </w:r>
      <w:r w:rsidR="00AC586E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4403D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eikä </w:t>
      </w:r>
      <w:r w:rsidR="00AC586E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kysymykseen 9 voimassa olevan sääntelymallin (jako lakiin, asetuksiin ja määräyksiin) asi-anmukaisuudesta tai mallin muuttamisesta (kysymys 11). Mitä tulee sääntelymallin kehittämiseen yleisemmin (kysymys 10), </w:t>
      </w:r>
      <w:r w:rsidR="0039108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 haluaa tuoda esiin paitsi tarpeen lain  soveltamisalan täsmentämiseen GMO:ien osalta, myös </w:t>
      </w:r>
      <w:r w:rsidR="00AC586E" w:rsidRPr="00AA3A63">
        <w:rPr>
          <w:rFonts w:ascii="Arial" w:hAnsi="Arial" w:cs="Arial"/>
          <w:color w:val="000000"/>
          <w:sz w:val="24"/>
          <w:szCs w:val="24"/>
          <w:lang w:val="fi-FI"/>
        </w:rPr>
        <w:t>tiet</w:t>
      </w:r>
      <w:r w:rsidR="00391085" w:rsidRPr="00AA3A63">
        <w:rPr>
          <w:rFonts w:ascii="Arial" w:hAnsi="Arial" w:cs="Arial"/>
          <w:color w:val="000000"/>
          <w:sz w:val="24"/>
          <w:szCs w:val="24"/>
          <w:lang w:val="fi-FI"/>
        </w:rPr>
        <w:t>tyyn</w:t>
      </w:r>
      <w:r w:rsidR="00AC586E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joustavuu</w:t>
      </w:r>
      <w:r w:rsidR="00391085" w:rsidRPr="00AA3A63">
        <w:rPr>
          <w:rFonts w:ascii="Arial" w:hAnsi="Arial" w:cs="Arial"/>
          <w:color w:val="000000"/>
          <w:sz w:val="24"/>
          <w:szCs w:val="24"/>
          <w:lang w:val="fi-FI"/>
        </w:rPr>
        <w:t>teen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kun </w:t>
      </w:r>
      <w:r w:rsidR="00AC586E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toimintaympäristö kehitty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>y</w:t>
      </w:r>
      <w:r w:rsidR="0039108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AC586E" w:rsidRPr="00AA3A63">
        <w:rPr>
          <w:rFonts w:ascii="Arial" w:hAnsi="Arial" w:cs="Arial"/>
          <w:color w:val="000000"/>
          <w:sz w:val="24"/>
          <w:szCs w:val="24"/>
          <w:lang w:val="fi-FI"/>
        </w:rPr>
        <w:t>kuljetus- ja pakkausteknisten innovaatioiden ja digitalisaation myötä</w:t>
      </w:r>
      <w:r w:rsidR="0039108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ja relevant</w:t>
      </w:r>
      <w:r w:rsidR="00F73BA8" w:rsidRPr="00AA3A63">
        <w:rPr>
          <w:rFonts w:ascii="Arial" w:hAnsi="Arial" w:cs="Arial"/>
          <w:color w:val="000000"/>
          <w:sz w:val="24"/>
          <w:szCs w:val="24"/>
          <w:lang w:val="fi-FI"/>
        </w:rPr>
        <w:t>it</w:t>
      </w:r>
      <w:r w:rsidR="0039108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kansainvälis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>et</w:t>
      </w:r>
      <w:r w:rsidR="00391085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sopimu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>kset muuttuvat</w:t>
      </w:r>
      <w:r w:rsidR="00AC586E" w:rsidRPr="00AA3A63">
        <w:rPr>
          <w:rFonts w:ascii="Arial" w:hAnsi="Arial" w:cs="Arial"/>
          <w:color w:val="000000"/>
          <w:sz w:val="24"/>
          <w:szCs w:val="24"/>
          <w:lang w:val="fi-FI"/>
        </w:rPr>
        <w:t>.</w:t>
      </w:r>
      <w:r w:rsidR="00057E71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</w:p>
    <w:p w:rsidR="00391085" w:rsidRPr="00AA3A63" w:rsidRDefault="00391085" w:rsidP="00057E71">
      <w:pPr>
        <w:pStyle w:val="stmnormaali0"/>
        <w:ind w:left="1304"/>
        <w:rPr>
          <w:rFonts w:ascii="Arial" w:hAnsi="Arial" w:cs="Arial"/>
          <w:sz w:val="24"/>
          <w:szCs w:val="24"/>
        </w:rPr>
      </w:pPr>
    </w:p>
    <w:p w:rsidR="001061B2" w:rsidRPr="00AA3A63" w:rsidRDefault="00B10F33" w:rsidP="001061B2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Lausuntopyynnön k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t>ysymyksissä 12 ja 13 tiedustellaan, ovatko viranomaisten tehtävät ja toimivaltuudet lainsäädännössä selkeät ja riittä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softHyphen/>
        <w:t>vät, ja jos eivät ole, millä tavalla niitä tulisi selkeyttää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,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ja millä tavalla toimivaltuuksia pi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softHyphen/>
        <w:t>täisi kehittää. GTLK toteaa, että onnettomuustapau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s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t>i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l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t>moitusten vastaanottamisessa toimivaltaa on VAK-laissa jaettu useille viranomaisille, mutta muiden kuin tartuntavaarallisten GMO:ien osalta viranomaisten toimivalta ja tehtävät ovat osin epäselvät. Kuten edellä todettiin, GTLK on geenitekniikkalain 16 ja 23 §</w:t>
      </w:r>
      <w:r w:rsidR="0071172E" w:rsidRPr="00AA3A63">
        <w:rPr>
          <w:rFonts w:ascii="Arial" w:hAnsi="Arial" w:cs="Arial"/>
          <w:color w:val="000000"/>
          <w:sz w:val="24"/>
          <w:szCs w:val="24"/>
          <w:lang w:val="fi-FI"/>
        </w:rPr>
        <w:t>:n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nojalla toimivaltainen tietyissä muissa GMO:eihin liittyvissä onnettomuustapauksissa. Lautakunta esittääkin </w:t>
      </w:r>
      <w:r w:rsidR="00AA31F8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liikenne- ja viestintäministeriön 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t>harkittavaksi, pitäisikö VAK-lain kokonaisuudistuksessa tarkastella toimivaltakysymyksiä myös tältä osin</w:t>
      </w:r>
      <w:r w:rsidR="00C935EB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yhdessä STM:n ja YM:n kanssa</w:t>
      </w:r>
      <w:r w:rsidR="001061B2" w:rsidRPr="00AA3A63">
        <w:rPr>
          <w:rFonts w:ascii="Arial" w:hAnsi="Arial" w:cs="Arial"/>
          <w:color w:val="000000"/>
          <w:sz w:val="24"/>
          <w:szCs w:val="24"/>
          <w:lang w:val="fi-FI"/>
        </w:rPr>
        <w:t>.</w:t>
      </w:r>
    </w:p>
    <w:p w:rsidR="00391085" w:rsidRPr="00AA3A63" w:rsidRDefault="00391085" w:rsidP="001061B2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826927" w:rsidRPr="00AA3A63" w:rsidRDefault="00BF6366" w:rsidP="00826927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GTLK:lla ei ole kommentoitavaa lausuntopyynnön kysymyksiin 14-17, jotka koskevat VAK-rikoksia ja </w:t>
      </w:r>
      <w:r w:rsidR="00826927" w:rsidRPr="00AA3A63">
        <w:rPr>
          <w:rFonts w:ascii="Arial" w:hAnsi="Arial" w:cs="Arial"/>
          <w:color w:val="000000"/>
          <w:sz w:val="24"/>
          <w:szCs w:val="24"/>
          <w:lang w:val="fi-FI"/>
        </w:rPr>
        <w:t>-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rikkomuksia ja niiden sanktiointia.</w:t>
      </w:r>
    </w:p>
    <w:p w:rsidR="00512903" w:rsidRPr="00AA3A63" w:rsidRDefault="00512903" w:rsidP="00826927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EF4444" w:rsidRPr="00AA3A63" w:rsidRDefault="002A4754" w:rsidP="002A4754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Lausuntopyynnön kysymykset 18-20 liittyvät tilapäiseeen säilytykseen liittyviin lainsäädännöllisiin ongelmiin. Tämä aihepiiri on os</w:t>
      </w:r>
      <w:r w:rsidR="008D0C1C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oittautunut hankalaksi eräiden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riskiluokkaan 2 kuuluvien GMM-jätteiden kohdalla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silloin, kun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paikallisilla jätekuljetusten sopimusyrityksillä ei ole tarvittavia lupia kyseisen jätteen kuljettamiseen loppusijoituspaikkaan. 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Loppusijoituspaikka </w:t>
      </w:r>
      <w:r w:rsidR="00553DB6" w:rsidRPr="00AA3A63">
        <w:rPr>
          <w:rFonts w:ascii="Arial" w:hAnsi="Arial" w:cs="Arial"/>
          <w:color w:val="000000"/>
          <w:sz w:val="24"/>
          <w:szCs w:val="24"/>
          <w:lang w:val="fi-FI"/>
        </w:rPr>
        <w:t>saattaa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kuitenkin </w:t>
      </w:r>
      <w:r w:rsidR="00553DB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olla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sama paikallinen jätteenpolttolaitos, johon toiminnanharjoittajan muu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poltettava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jät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>e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kuljetetaan. T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ämä on 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eräissä 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tapauksessa 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>johtanut tarpeeseen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553DB6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säilyttää tilapäisesti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riskiluokan 2 jätte</w:t>
      </w:r>
      <w:r w:rsidR="00553DB6" w:rsidRPr="00AA3A63">
        <w:rPr>
          <w:rFonts w:ascii="Arial" w:hAnsi="Arial" w:cs="Arial"/>
          <w:color w:val="000000"/>
          <w:sz w:val="24"/>
          <w:szCs w:val="24"/>
          <w:lang w:val="fi-FI"/>
        </w:rPr>
        <w:t>itä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kunnes riittävä volyymi erityiskuljetuksen järjestämiseksi on saavutettu. 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>Siitä</w:t>
      </w:r>
      <w:r w:rsidR="0071172E" w:rsidRPr="00AA3A63">
        <w:rPr>
          <w:rFonts w:ascii="Arial" w:hAnsi="Arial" w:cs="Arial"/>
          <w:color w:val="000000"/>
          <w:sz w:val="24"/>
          <w:szCs w:val="24"/>
          <w:lang w:val="fi-FI"/>
        </w:rPr>
        <w:t>,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mikä on tällaisessa säilytyksessä määrä</w:t>
      </w:r>
      <w:r w:rsidR="00DC173E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tai säilytysaika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josta ei aiheudu erityistä vaaraa, on erilaisia tulkintoja.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Tartuntavaarallisten 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organismien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kohdalla pitkäaikainen välivarastointi ei </w:t>
      </w:r>
      <w:r w:rsidR="0063021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pääsääntöisesti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ole 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turvallinen ratkaisu, olivatpa ne muuntogeenisiä tai eivät, vaan niitä sisältävät jätteet tulisi </w:t>
      </w:r>
      <w:r w:rsidR="0063021D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ensisijaisesti 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inaktivoida lyhyen ajan sisällä. Olisikin 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>suotavaa</w:t>
      </w:r>
      <w:r w:rsidR="00EF4444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että GMO-, VAK-, jäte- ja työsuojelusäädökset saataisiin tältä osin sovitettua yhteen. </w:t>
      </w:r>
    </w:p>
    <w:p w:rsidR="00502ED8" w:rsidRPr="00AA3A63" w:rsidRDefault="00502ED8" w:rsidP="00E31F8A">
      <w:pPr>
        <w:pStyle w:val="stmnormaali0"/>
        <w:ind w:left="1304"/>
        <w:rPr>
          <w:rFonts w:ascii="Arial" w:hAnsi="Arial" w:cs="Arial"/>
          <w:sz w:val="24"/>
          <w:szCs w:val="24"/>
        </w:rPr>
      </w:pPr>
    </w:p>
    <w:p w:rsidR="00502ED8" w:rsidRPr="00AA3A63" w:rsidRDefault="00502ED8" w:rsidP="00502ED8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GTLK:lla ei ole lausuttavaa kysymykseen 21 raideliikenteen turvallisuudenhallinnan toteuttamisesta turvallisuusjohtamisjärjestelmässä. Kysymykseen 22 liittyen lautakunta esittää harkittavaksi perusmuotoisen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lastRenderedPageBreak/>
        <w:t xml:space="preserve">henkilöturvallisuusselvityksen käyttöönottoa myös tartuntavaarallisten aineiden kuljetuksissa (ml. tartuntavaaralliset GMO:t). Koska </w:t>
      </w:r>
      <w:r w:rsidR="00F2274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niiden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kuljetu</w:t>
      </w:r>
      <w:r w:rsidR="00F2274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ksiin liittyy mahdollisuus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taudinaiheuttajien </w:t>
      </w:r>
      <w:r w:rsidR="00F22747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päätymiseen esim.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bioterrorismi</w:t>
      </w:r>
      <w:r w:rsidR="00F22747" w:rsidRPr="00AA3A63">
        <w:rPr>
          <w:rFonts w:ascii="Arial" w:hAnsi="Arial" w:cs="Arial"/>
          <w:color w:val="000000"/>
          <w:sz w:val="24"/>
          <w:szCs w:val="24"/>
          <w:lang w:val="fi-FI"/>
        </w:rPr>
        <w:t>tarkoituksiin,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GTLK 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>ehdottaa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, että asiassa </w:t>
      </w:r>
      <w:r w:rsidR="00FE41BB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pyydettäisiin lausunto tai muutoin 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konsultoitaisiin Suomen bioturvaverkostoa</w:t>
      </w:r>
      <w:r w:rsidR="00B10F33"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(SBTV). SBTV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</w:t>
      </w:r>
      <w:r w:rsidR="00F22747" w:rsidRPr="00AA3A63">
        <w:rPr>
          <w:rFonts w:ascii="Arial" w:hAnsi="Arial" w:cs="Arial"/>
          <w:color w:val="000000"/>
          <w:sz w:val="24"/>
          <w:szCs w:val="24"/>
          <w:lang w:val="fi-FI"/>
        </w:rPr>
        <w:t>pystyisi kenties arvioimaan myös turvallisuusselvityksen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käyttöönoton käytännön vaikutuksia (kysymys 23). </w:t>
      </w:r>
    </w:p>
    <w:p w:rsidR="00502ED8" w:rsidRPr="00AA3A63" w:rsidRDefault="00502ED8" w:rsidP="00E31F8A">
      <w:pPr>
        <w:pStyle w:val="stmnormaali0"/>
        <w:ind w:left="1304"/>
        <w:rPr>
          <w:rFonts w:ascii="Arial" w:hAnsi="Arial" w:cs="Arial"/>
          <w:sz w:val="24"/>
          <w:szCs w:val="24"/>
        </w:rPr>
      </w:pPr>
    </w:p>
    <w:p w:rsidR="00F22747" w:rsidRPr="00AA3A63" w:rsidRDefault="00F22747" w:rsidP="00F22747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GTLK:lla ei ole kantaa kysymyksiin 24 ja 25 turvallisuusneuvonantajarekisterin perustamisesta, eikä kysymyksiin 26 ja 27 säil</w:t>
      </w:r>
      <w:r w:rsidR="00FA6F0D" w:rsidRPr="00AA3A63">
        <w:rPr>
          <w:rFonts w:ascii="Arial" w:hAnsi="Arial" w:cs="Arial"/>
          <w:color w:val="000000"/>
          <w:sz w:val="24"/>
          <w:szCs w:val="24"/>
          <w:lang w:val="fi-FI"/>
        </w:rPr>
        <w:t>i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>öiden rekisteröinnistä, mutta lautakunta toteaa, että kaikki ehdotukset, jo</w:t>
      </w:r>
      <w:r w:rsidR="00C3212E" w:rsidRPr="00AA3A63">
        <w:rPr>
          <w:rFonts w:ascii="Arial" w:hAnsi="Arial" w:cs="Arial"/>
          <w:color w:val="000000"/>
          <w:sz w:val="24"/>
          <w:szCs w:val="24"/>
          <w:lang w:val="fi-FI"/>
        </w:rPr>
        <w:t>illa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helpotettaisiin viranomaisten toimintaa onnettomuustilanteissa, ovat varsin tervetulleita.</w:t>
      </w:r>
    </w:p>
    <w:p w:rsidR="00652E05" w:rsidRPr="00AA3A63" w:rsidRDefault="00652E05" w:rsidP="00E31F8A">
      <w:pPr>
        <w:pStyle w:val="stmnormaali0"/>
        <w:ind w:left="1304"/>
        <w:rPr>
          <w:rFonts w:ascii="Arial" w:hAnsi="Arial" w:cs="Arial"/>
          <w:sz w:val="24"/>
          <w:szCs w:val="24"/>
        </w:rPr>
      </w:pPr>
    </w:p>
    <w:p w:rsidR="00652E05" w:rsidRPr="00AA3A63" w:rsidRDefault="00652E05" w:rsidP="00652E05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Lausuntopyynnössä esitettyjen kysymysten ulkopuolelta GTLK haluaa lisäksi tuoda esiin VAK-lain 23 §:n, joka lautakunnan tulkinnan mukaan ei mahdollista salassa pidettäviksi säädettyjen tietojen luovuttamista geenitekniikkalaissa määrätyille lupa- ja valvontaviranomaisille niiden tehtävien suorittamiseksi. VAK-lain kokonaisuudistuksessa olisikin arvioitava, pitäisikö 23 §:ssä säädettyä valtuutusta laajentaa tältä osin.</w:t>
      </w:r>
    </w:p>
    <w:p w:rsidR="00652E05" w:rsidRPr="00AA3A63" w:rsidRDefault="00652E05" w:rsidP="00652E05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F22747" w:rsidRPr="00AA3A63" w:rsidRDefault="00F22747" w:rsidP="00F22747">
      <w:pPr>
        <w:pStyle w:val="stmviite1"/>
        <w:ind w:left="1304"/>
        <w:rPr>
          <w:rFonts w:ascii="Arial" w:hAnsi="Arial" w:cs="Arial"/>
          <w:b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b/>
          <w:color w:val="000000"/>
          <w:sz w:val="24"/>
          <w:szCs w:val="24"/>
          <w:lang w:val="fi-FI"/>
        </w:rPr>
        <w:t xml:space="preserve">Tekniset huomautukset: </w:t>
      </w:r>
    </w:p>
    <w:p w:rsidR="00F22747" w:rsidRPr="00AA3A63" w:rsidRDefault="00F22747" w:rsidP="00F22747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F22747" w:rsidRPr="00AA3A63" w:rsidRDefault="00F22747" w:rsidP="00057E71">
      <w:pPr>
        <w:pStyle w:val="stmviite1"/>
        <w:spacing w:after="840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GTLK pyytää korjaamaan arviointimuistion kohdan </w:t>
      </w:r>
      <w:r w:rsidR="00652E05" w:rsidRPr="00AA3A63">
        <w:rPr>
          <w:rFonts w:ascii="Arial" w:hAnsi="Arial" w:cs="Arial"/>
          <w:color w:val="000000"/>
          <w:sz w:val="24"/>
          <w:szCs w:val="24"/>
          <w:lang w:val="fi-FI"/>
        </w:rPr>
        <w:t>4.8,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jonka mukaan Ruokavirasto </w:t>
      </w:r>
      <w:r w:rsidR="00652E05" w:rsidRPr="00AA3A63">
        <w:rPr>
          <w:rFonts w:ascii="Arial" w:hAnsi="Arial" w:cs="Arial"/>
          <w:color w:val="000000"/>
          <w:sz w:val="24"/>
          <w:szCs w:val="24"/>
          <w:lang w:val="fi-FI"/>
        </w:rPr>
        <w:t>kuuluu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ympäristöministeriön hallinnonala</w:t>
      </w:r>
      <w:r w:rsidR="00652E05" w:rsidRPr="00AA3A63">
        <w:rPr>
          <w:rFonts w:ascii="Arial" w:hAnsi="Arial" w:cs="Arial"/>
          <w:color w:val="000000"/>
          <w:sz w:val="24"/>
          <w:szCs w:val="24"/>
          <w:lang w:val="fi-FI"/>
        </w:rPr>
        <w:t>an</w:t>
      </w:r>
      <w:r w:rsidRPr="00AA3A63">
        <w:rPr>
          <w:rFonts w:ascii="Arial" w:hAnsi="Arial" w:cs="Arial"/>
          <w:color w:val="000000"/>
          <w:sz w:val="24"/>
          <w:szCs w:val="24"/>
          <w:lang w:val="fi-FI"/>
        </w:rPr>
        <w:t xml:space="preserve"> (p.o. maa- ja metsätalousministeriön). </w:t>
      </w:r>
    </w:p>
    <w:p w:rsidR="000E417A" w:rsidRPr="00AA3A63" w:rsidRDefault="00AC3D95" w:rsidP="000E417A">
      <w:pPr>
        <w:pStyle w:val="STMriippuva2"/>
        <w:ind w:left="3912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Johanna Björkroth</w:t>
      </w:r>
    </w:p>
    <w:p w:rsidR="001A764A" w:rsidRPr="00AA3A63" w:rsidRDefault="00485F53" w:rsidP="00057E71">
      <w:pPr>
        <w:pStyle w:val="STMriippuva2"/>
        <w:spacing w:after="960"/>
        <w:ind w:left="3912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G</w:t>
      </w:r>
      <w:r w:rsidR="00AF717B" w:rsidRPr="00AA3A63">
        <w:rPr>
          <w:rFonts w:ascii="Arial" w:hAnsi="Arial" w:cs="Arial"/>
          <w:color w:val="000000"/>
          <w:sz w:val="24"/>
          <w:szCs w:val="24"/>
          <w:lang w:val="fi-FI"/>
        </w:rPr>
        <w:t>eenitekniikan lautakunnan p</w:t>
      </w:r>
      <w:r w:rsidR="000E417A" w:rsidRPr="00AA3A63">
        <w:rPr>
          <w:rFonts w:ascii="Arial" w:hAnsi="Arial" w:cs="Arial"/>
          <w:color w:val="000000"/>
          <w:sz w:val="24"/>
          <w:szCs w:val="24"/>
          <w:lang w:val="fi-FI"/>
        </w:rPr>
        <w:t>uheenjohtaja</w:t>
      </w:r>
    </w:p>
    <w:p w:rsidR="00A6509A" w:rsidRPr="00AA3A63" w:rsidRDefault="00A6509A" w:rsidP="00A6509A">
      <w:pPr>
        <w:pStyle w:val="STMriippuva2"/>
        <w:ind w:left="3912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Kirsi Törmäkangas</w:t>
      </w:r>
    </w:p>
    <w:p w:rsidR="001A764A" w:rsidRPr="00AA3A63" w:rsidRDefault="00485F53" w:rsidP="002D4EE2">
      <w:pPr>
        <w:pStyle w:val="STMriippuva2"/>
        <w:ind w:left="3912"/>
        <w:rPr>
          <w:rFonts w:ascii="Arial" w:hAnsi="Arial" w:cs="Arial"/>
          <w:color w:val="000000"/>
          <w:sz w:val="24"/>
          <w:szCs w:val="24"/>
          <w:lang w:val="fi-FI"/>
        </w:rPr>
      </w:pPr>
      <w:r w:rsidRPr="00AA3A63">
        <w:rPr>
          <w:rFonts w:ascii="Arial" w:hAnsi="Arial" w:cs="Arial"/>
          <w:color w:val="000000"/>
          <w:sz w:val="24"/>
          <w:szCs w:val="24"/>
          <w:lang w:val="fi-FI"/>
        </w:rPr>
        <w:t>G</w:t>
      </w:r>
      <w:r w:rsidR="00A6509A" w:rsidRPr="00AA3A63">
        <w:rPr>
          <w:rFonts w:ascii="Arial" w:hAnsi="Arial" w:cs="Arial"/>
          <w:color w:val="000000"/>
          <w:sz w:val="24"/>
          <w:szCs w:val="24"/>
          <w:lang w:val="fi-FI"/>
        </w:rPr>
        <w:t>eenitekniikan lautakunnan pääsihteeri</w:t>
      </w:r>
    </w:p>
    <w:p w:rsidR="00512903" w:rsidRPr="00AA3A63" w:rsidRDefault="00512903" w:rsidP="00512903">
      <w:pPr>
        <w:pStyle w:val="stmviite1"/>
        <w:ind w:left="1304"/>
        <w:rPr>
          <w:rFonts w:ascii="Arial" w:hAnsi="Arial" w:cs="Arial"/>
          <w:color w:val="000000"/>
          <w:sz w:val="24"/>
          <w:szCs w:val="24"/>
          <w:lang w:val="fi-FI"/>
        </w:rPr>
      </w:pPr>
    </w:p>
    <w:p w:rsidR="00512903" w:rsidRPr="00AA3A63" w:rsidRDefault="00512903" w:rsidP="00057E71">
      <w:pPr>
        <w:pStyle w:val="STMleipteksti"/>
        <w:ind w:left="1304"/>
        <w:rPr>
          <w:rFonts w:ascii="Arial" w:hAnsi="Arial" w:cs="Arial"/>
          <w:sz w:val="24"/>
          <w:szCs w:val="24"/>
        </w:rPr>
      </w:pPr>
    </w:p>
    <w:p w:rsidR="00512903" w:rsidRPr="00AA3A63" w:rsidRDefault="00512903" w:rsidP="00512903">
      <w:pPr>
        <w:pStyle w:val="STMleipteksti"/>
        <w:ind w:left="1304"/>
        <w:rPr>
          <w:rFonts w:ascii="Arial" w:hAnsi="Arial" w:cs="Arial"/>
          <w:sz w:val="24"/>
          <w:szCs w:val="24"/>
        </w:rPr>
      </w:pPr>
      <w:r w:rsidRPr="00AA3A63">
        <w:rPr>
          <w:rFonts w:ascii="Arial" w:hAnsi="Arial" w:cs="Arial"/>
          <w:sz w:val="24"/>
          <w:szCs w:val="24"/>
        </w:rPr>
        <w:t>LIITTEET</w:t>
      </w:r>
      <w:r w:rsidRPr="00AA3A63">
        <w:rPr>
          <w:rFonts w:ascii="Arial" w:hAnsi="Arial" w:cs="Arial"/>
          <w:sz w:val="24"/>
          <w:szCs w:val="24"/>
        </w:rPr>
        <w:tab/>
      </w:r>
    </w:p>
    <w:p w:rsidR="00512903" w:rsidRPr="00AA3A63" w:rsidRDefault="00512903" w:rsidP="00512903">
      <w:pPr>
        <w:pStyle w:val="STMleipteksti"/>
        <w:ind w:left="1304"/>
        <w:rPr>
          <w:rFonts w:ascii="Arial" w:hAnsi="Arial" w:cs="Arial"/>
          <w:sz w:val="24"/>
          <w:szCs w:val="24"/>
        </w:rPr>
      </w:pPr>
    </w:p>
    <w:p w:rsidR="00512903" w:rsidRPr="00AA3A63" w:rsidRDefault="00512903" w:rsidP="00512903">
      <w:pPr>
        <w:pStyle w:val="STMleipteksti"/>
        <w:ind w:left="1304"/>
        <w:rPr>
          <w:rFonts w:ascii="Arial" w:hAnsi="Arial" w:cs="Arial"/>
          <w:sz w:val="24"/>
          <w:szCs w:val="24"/>
        </w:rPr>
      </w:pPr>
      <w:r w:rsidRPr="00AA3A63">
        <w:rPr>
          <w:rFonts w:ascii="Arial" w:hAnsi="Arial" w:cs="Arial"/>
          <w:sz w:val="24"/>
          <w:szCs w:val="24"/>
        </w:rPr>
        <w:t>JAKELU</w:t>
      </w:r>
      <w:r w:rsidRPr="00AA3A63">
        <w:rPr>
          <w:rFonts w:ascii="Arial" w:hAnsi="Arial" w:cs="Arial"/>
          <w:sz w:val="24"/>
          <w:szCs w:val="24"/>
        </w:rPr>
        <w:tab/>
      </w:r>
    </w:p>
    <w:p w:rsidR="00512903" w:rsidRPr="00AA3A63" w:rsidRDefault="00512903" w:rsidP="00512903">
      <w:pPr>
        <w:pStyle w:val="STMleipteksti"/>
        <w:ind w:left="1304"/>
        <w:rPr>
          <w:rFonts w:ascii="Arial" w:hAnsi="Arial" w:cs="Arial"/>
          <w:sz w:val="24"/>
          <w:szCs w:val="24"/>
        </w:rPr>
      </w:pPr>
    </w:p>
    <w:p w:rsidR="00512903" w:rsidRPr="00AA3A63" w:rsidRDefault="00512903" w:rsidP="009F7D57">
      <w:pPr>
        <w:pStyle w:val="STMleipteksti"/>
        <w:ind w:left="1304"/>
        <w:rPr>
          <w:rFonts w:ascii="Arial" w:hAnsi="Arial" w:cs="Arial"/>
          <w:sz w:val="24"/>
          <w:szCs w:val="24"/>
        </w:rPr>
      </w:pPr>
      <w:r w:rsidRPr="00AA3A63">
        <w:rPr>
          <w:rFonts w:ascii="Arial" w:hAnsi="Arial" w:cs="Arial"/>
          <w:sz w:val="24"/>
          <w:szCs w:val="24"/>
        </w:rPr>
        <w:t>TIEDOKSI</w:t>
      </w:r>
      <w:r w:rsidRPr="00AA3A63">
        <w:rPr>
          <w:rFonts w:ascii="Arial" w:hAnsi="Arial" w:cs="Arial"/>
          <w:sz w:val="24"/>
          <w:szCs w:val="24"/>
        </w:rPr>
        <w:tab/>
        <w:t xml:space="preserve">Valvira, </w:t>
      </w:r>
      <w:r w:rsidR="00AC3D95" w:rsidRPr="00AA3A63">
        <w:rPr>
          <w:rFonts w:ascii="Arial" w:hAnsi="Arial" w:cs="Arial"/>
          <w:sz w:val="24"/>
          <w:szCs w:val="24"/>
        </w:rPr>
        <w:t>Ruokavirasto</w:t>
      </w:r>
      <w:r w:rsidRPr="00AA3A63">
        <w:rPr>
          <w:rFonts w:ascii="Arial" w:hAnsi="Arial" w:cs="Arial"/>
          <w:sz w:val="24"/>
          <w:szCs w:val="24"/>
        </w:rPr>
        <w:t>, SYKE</w:t>
      </w:r>
    </w:p>
    <w:sectPr w:rsidR="00512903" w:rsidRPr="00AA3A63" w:rsidSect="00F2061D">
      <w:headerReference w:type="default" r:id="rId8"/>
      <w:footerReference w:type="default" r:id="rId9"/>
      <w:footerReference w:type="first" r:id="rId10"/>
      <w:pgSz w:w="11906" w:h="16838" w:code="9"/>
      <w:pgMar w:top="567" w:right="1134" w:bottom="170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2C" w:rsidRDefault="00ED1E2C">
      <w:r>
        <w:separator/>
      </w:r>
    </w:p>
    <w:p w:rsidR="00ED1E2C" w:rsidRDefault="00ED1E2C"/>
  </w:endnote>
  <w:endnote w:type="continuationSeparator" w:id="0">
    <w:p w:rsidR="00ED1E2C" w:rsidRDefault="00ED1E2C">
      <w:r>
        <w:continuationSeparator/>
      </w:r>
    </w:p>
    <w:p w:rsidR="00ED1E2C" w:rsidRDefault="00ED1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55" w:rsidRDefault="00E142E3">
    <w:pPr>
      <w:pStyle w:val="Alatunniste"/>
      <w:spacing w:line="240" w:lineRule="auto"/>
      <w:rPr>
        <w:sz w:val="2"/>
        <w:szCs w:val="2"/>
        <w:lang/>
      </w:rPr>
    </w:pPr>
    <w:r>
      <w:rPr>
        <w:noProof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5581015</wp:posOffset>
          </wp:positionH>
          <wp:positionV relativeFrom="paragraph">
            <wp:posOffset>-774700</wp:posOffset>
          </wp:positionV>
          <wp:extent cx="1778000" cy="1003300"/>
          <wp:effectExtent l="0" t="0" r="0" b="6350"/>
          <wp:wrapNone/>
          <wp:docPr id="3" name="Kuva 3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6F55" w:rsidRDefault="00FF6F55">
    <w:pPr>
      <w:pStyle w:val="Alatunniste"/>
      <w:rPr>
        <w:lang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FF6F55">
      <w:tc>
        <w:tcPr>
          <w:tcW w:w="2988" w:type="dxa"/>
        </w:tcPr>
        <w:p w:rsidR="00FF6F55" w:rsidRDefault="00FF6F55">
          <w:pPr>
            <w:pStyle w:val="Alatunniste"/>
          </w:pPr>
          <w:r>
            <w:t>Kirkkokatu 14, Helsinki</w:t>
          </w:r>
        </w:p>
        <w:p w:rsidR="00FF6F55" w:rsidRDefault="00FF6F55">
          <w:pPr>
            <w:pStyle w:val="Alatunniste"/>
          </w:pPr>
          <w:r>
            <w:t>PL 33, 00023 VALTIONEUVOSTO</w:t>
          </w:r>
        </w:p>
        <w:p w:rsidR="00FF6F55" w:rsidRDefault="00FF6F55">
          <w:pPr>
            <w:pStyle w:val="Alatunniste"/>
          </w:pPr>
          <w:r>
            <w:t>www.geenitekniikanlautakunta.fi</w:t>
          </w:r>
        </w:p>
        <w:p w:rsidR="00FF6F55" w:rsidRDefault="00FF6F55">
          <w:pPr>
            <w:pStyle w:val="Alatunniste"/>
          </w:pPr>
        </w:p>
      </w:tc>
      <w:tc>
        <w:tcPr>
          <w:tcW w:w="2286" w:type="dxa"/>
        </w:tcPr>
        <w:p w:rsidR="00FF6F55" w:rsidRPr="004E4950" w:rsidRDefault="004E4950" w:rsidP="004E4950">
          <w:pPr>
            <w:pStyle w:val="Alatunniste"/>
            <w:tabs>
              <w:tab w:val="left" w:pos="759"/>
            </w:tabs>
            <w:rPr>
              <w:rFonts w:ascii="Times New Roman" w:hAnsi="Times New Roman"/>
              <w:color w:val="000000"/>
              <w:lang w:val="de-DE"/>
            </w:rPr>
          </w:pPr>
          <w:r w:rsidRPr="004E4950">
            <w:rPr>
              <w:rFonts w:ascii="Times New Roman" w:hAnsi="Times New Roman"/>
              <w:color w:val="000000"/>
              <w:szCs w:val="16"/>
              <w:lang w:val="en-US"/>
            </w:rPr>
            <w:t>Tel.:</w:t>
          </w:r>
          <w:r>
            <w:rPr>
              <w:rFonts w:ascii="Times New Roman" w:hAnsi="Times New Roman"/>
              <w:color w:val="000000"/>
              <w:szCs w:val="16"/>
              <w:lang w:val="en-US"/>
            </w:rPr>
            <w:t xml:space="preserve"> </w:t>
          </w:r>
          <w:r w:rsidRPr="004E4950">
            <w:rPr>
              <w:rFonts w:ascii="Times New Roman" w:hAnsi="Times New Roman"/>
              <w:color w:val="000000"/>
              <w:szCs w:val="16"/>
              <w:lang w:val="en-US"/>
            </w:rPr>
            <w:t>0295 16001</w:t>
          </w:r>
        </w:p>
      </w:tc>
      <w:tc>
        <w:tcPr>
          <w:tcW w:w="2268" w:type="dxa"/>
        </w:tcPr>
        <w:p w:rsidR="00FF6F55" w:rsidRDefault="00FF6F55">
          <w:pPr>
            <w:pStyle w:val="Alatunniste"/>
            <w:rPr>
              <w:lang/>
            </w:rPr>
          </w:pPr>
          <w:r>
            <w:rPr>
              <w:lang/>
            </w:rPr>
            <w:t>e-mail: gtlk.stm@stm.fi</w:t>
          </w:r>
        </w:p>
        <w:p w:rsidR="00FF6F55" w:rsidRDefault="00FF6F55" w:rsidP="001A764A">
          <w:pPr>
            <w:pStyle w:val="Alatunniste"/>
            <w:rPr>
              <w:lang/>
            </w:rPr>
          </w:pPr>
        </w:p>
      </w:tc>
    </w:tr>
  </w:tbl>
  <w:p w:rsidR="00FF6F55" w:rsidRDefault="00E142E3">
    <w:pPr>
      <w:pStyle w:val="Alatunniste"/>
      <w:spacing w:line="240" w:lineRule="auto"/>
      <w:rPr>
        <w:sz w:val="2"/>
        <w:szCs w:val="2"/>
        <w:lang/>
      </w:rPr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0"/>
          <wp:wrapNone/>
          <wp:docPr id="2" name="Kuva 2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2C" w:rsidRDefault="00ED1E2C">
      <w:r>
        <w:separator/>
      </w:r>
    </w:p>
    <w:p w:rsidR="00ED1E2C" w:rsidRDefault="00ED1E2C"/>
  </w:footnote>
  <w:footnote w:type="continuationSeparator" w:id="0">
    <w:p w:rsidR="00ED1E2C" w:rsidRDefault="00ED1E2C">
      <w:r>
        <w:continuationSeparator/>
      </w:r>
    </w:p>
    <w:p w:rsidR="00ED1E2C" w:rsidRDefault="00ED1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55" w:rsidRPr="00AA3A63" w:rsidRDefault="00FF6F55" w:rsidP="00057E71">
    <w:pPr>
      <w:tabs>
        <w:tab w:val="left" w:pos="5216"/>
        <w:tab w:val="left" w:pos="7825"/>
        <w:tab w:val="left" w:pos="9129"/>
      </w:tabs>
      <w:spacing w:after="960"/>
      <w:ind w:right="-556"/>
      <w:rPr>
        <w:rStyle w:val="Sivunumero"/>
        <w:rFonts w:ascii="Arial" w:hAnsi="Arial" w:cs="Arial"/>
        <w:lang w:eastAsia="fi-FI"/>
      </w:rPr>
    </w:pPr>
    <w:r>
      <w:tab/>
    </w:r>
    <w:r>
      <w:tab/>
    </w:r>
    <w:r>
      <w:tab/>
    </w:r>
    <w:r w:rsidRPr="00AA3A63">
      <w:rPr>
        <w:rStyle w:val="Sivunumero"/>
        <w:rFonts w:ascii="Arial" w:hAnsi="Arial" w:cs="Arial"/>
        <w:lang w:eastAsia="fi-FI"/>
      </w:rPr>
      <w:fldChar w:fldCharType="begin"/>
    </w:r>
    <w:r w:rsidRPr="00AA3A63">
      <w:rPr>
        <w:rStyle w:val="Sivunumero"/>
        <w:rFonts w:ascii="Arial" w:hAnsi="Arial" w:cs="Arial"/>
        <w:lang w:eastAsia="fi-FI"/>
      </w:rPr>
      <w:instrText xml:space="preserve"> PAGE </w:instrText>
    </w:r>
    <w:r w:rsidRPr="00AA3A63">
      <w:rPr>
        <w:rStyle w:val="Sivunumero"/>
        <w:rFonts w:ascii="Arial" w:hAnsi="Arial" w:cs="Arial"/>
        <w:lang w:eastAsia="fi-FI"/>
      </w:rPr>
      <w:fldChar w:fldCharType="separate"/>
    </w:r>
    <w:r w:rsidR="00154B53">
      <w:rPr>
        <w:rStyle w:val="Sivunumero"/>
        <w:rFonts w:ascii="Arial" w:hAnsi="Arial" w:cs="Arial"/>
        <w:noProof/>
        <w:lang w:eastAsia="fi-FI"/>
      </w:rPr>
      <w:t>2</w:t>
    </w:r>
    <w:r w:rsidRPr="00AA3A63">
      <w:rPr>
        <w:rStyle w:val="Sivunumero"/>
        <w:rFonts w:ascii="Arial" w:hAnsi="Arial" w:cs="Arial"/>
        <w:lang w:eastAsia="fi-FI"/>
      </w:rPr>
      <w:fldChar w:fldCharType="end"/>
    </w:r>
    <w:r w:rsidR="00057E71" w:rsidRPr="00AA3A63">
      <w:rPr>
        <w:rStyle w:val="Sivunumero"/>
        <w:rFonts w:ascii="Arial" w:hAnsi="Arial" w:cs="Arial"/>
        <w:lang w:eastAsia="fi-FI"/>
      </w:rPr>
      <w:t xml:space="preserve"> </w:t>
    </w:r>
    <w:r w:rsidRPr="00AA3A63">
      <w:rPr>
        <w:rStyle w:val="Sivunumero"/>
        <w:rFonts w:ascii="Arial" w:hAnsi="Arial" w:cs="Arial"/>
        <w:lang w:eastAsia="fi-FI"/>
      </w:rPr>
      <w:t>(</w:t>
    </w:r>
    <w:r w:rsidRPr="00AA3A63">
      <w:rPr>
        <w:rStyle w:val="Sivunumero"/>
        <w:rFonts w:ascii="Arial" w:hAnsi="Arial" w:cs="Arial"/>
        <w:lang w:eastAsia="fi-FI"/>
      </w:rPr>
      <w:fldChar w:fldCharType="begin"/>
    </w:r>
    <w:r w:rsidRPr="00AA3A63">
      <w:rPr>
        <w:rStyle w:val="Sivunumero"/>
        <w:rFonts w:ascii="Arial" w:hAnsi="Arial" w:cs="Arial"/>
        <w:lang w:eastAsia="fi-FI"/>
      </w:rPr>
      <w:instrText xml:space="preserve"> NU</w:instrText>
    </w:r>
    <w:r w:rsidRPr="00AA3A63">
      <w:rPr>
        <w:rStyle w:val="Sivunumero"/>
        <w:rFonts w:ascii="Arial" w:hAnsi="Arial" w:cs="Arial"/>
        <w:lang w:eastAsia="fi-FI"/>
      </w:rPr>
      <w:instrText>M</w:instrText>
    </w:r>
    <w:r w:rsidRPr="00AA3A63">
      <w:rPr>
        <w:rStyle w:val="Sivunumero"/>
        <w:rFonts w:ascii="Arial" w:hAnsi="Arial" w:cs="Arial"/>
        <w:lang w:eastAsia="fi-FI"/>
      </w:rPr>
      <w:instrText xml:space="preserve">PAGES </w:instrText>
    </w:r>
    <w:r w:rsidRPr="00AA3A63">
      <w:rPr>
        <w:rStyle w:val="Sivunumero"/>
        <w:rFonts w:ascii="Arial" w:hAnsi="Arial" w:cs="Arial"/>
        <w:lang w:eastAsia="fi-FI"/>
      </w:rPr>
      <w:fldChar w:fldCharType="separate"/>
    </w:r>
    <w:r w:rsidR="00154B53">
      <w:rPr>
        <w:rStyle w:val="Sivunumero"/>
        <w:rFonts w:ascii="Arial" w:hAnsi="Arial" w:cs="Arial"/>
        <w:noProof/>
        <w:lang w:eastAsia="fi-FI"/>
      </w:rPr>
      <w:t>5</w:t>
    </w:r>
    <w:r w:rsidRPr="00AA3A63">
      <w:rPr>
        <w:rStyle w:val="Sivunumero"/>
        <w:rFonts w:ascii="Arial" w:hAnsi="Arial" w:cs="Arial"/>
        <w:lang w:eastAsia="fi-FI"/>
      </w:rPr>
      <w:fldChar w:fldCharType="end"/>
    </w:r>
    <w:r w:rsidRPr="00AA3A63">
      <w:rPr>
        <w:rStyle w:val="Sivunumero"/>
        <w:rFonts w:ascii="Arial" w:hAnsi="Arial" w:cs="Arial"/>
        <w:lang w:eastAsia="fi-F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12AC0C80"/>
    <w:multiLevelType w:val="hybridMultilevel"/>
    <w:tmpl w:val="466E6756"/>
    <w:lvl w:ilvl="0" w:tplc="7AC67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3CB94581"/>
    <w:multiLevelType w:val="hybridMultilevel"/>
    <w:tmpl w:val="45C89D4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1304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86"/>
    <w:rsid w:val="00043440"/>
    <w:rsid w:val="00045B68"/>
    <w:rsid w:val="00045F6C"/>
    <w:rsid w:val="00057E71"/>
    <w:rsid w:val="00060240"/>
    <w:rsid w:val="000A72C3"/>
    <w:rsid w:val="000D4D90"/>
    <w:rsid w:val="000D59AF"/>
    <w:rsid w:val="000E417A"/>
    <w:rsid w:val="000F4C8E"/>
    <w:rsid w:val="001061B2"/>
    <w:rsid w:val="00154B53"/>
    <w:rsid w:val="0016378E"/>
    <w:rsid w:val="00164AB1"/>
    <w:rsid w:val="00181CFA"/>
    <w:rsid w:val="00182B3A"/>
    <w:rsid w:val="00184C31"/>
    <w:rsid w:val="001957E8"/>
    <w:rsid w:val="001A2794"/>
    <w:rsid w:val="001A2FDD"/>
    <w:rsid w:val="001A37CA"/>
    <w:rsid w:val="001A764A"/>
    <w:rsid w:val="001C5360"/>
    <w:rsid w:val="001D3AC1"/>
    <w:rsid w:val="001E35EA"/>
    <w:rsid w:val="001E3ADA"/>
    <w:rsid w:val="002238C9"/>
    <w:rsid w:val="002358B6"/>
    <w:rsid w:val="00261224"/>
    <w:rsid w:val="002633B0"/>
    <w:rsid w:val="002A2D34"/>
    <w:rsid w:val="002A4754"/>
    <w:rsid w:val="002A7499"/>
    <w:rsid w:val="002C42E6"/>
    <w:rsid w:val="002D1E88"/>
    <w:rsid w:val="002D4EE2"/>
    <w:rsid w:val="002E03D1"/>
    <w:rsid w:val="00307DE7"/>
    <w:rsid w:val="00313FF6"/>
    <w:rsid w:val="00324B0A"/>
    <w:rsid w:val="00333B2E"/>
    <w:rsid w:val="00340F77"/>
    <w:rsid w:val="003500C2"/>
    <w:rsid w:val="003507D7"/>
    <w:rsid w:val="00363648"/>
    <w:rsid w:val="00390971"/>
    <w:rsid w:val="00391085"/>
    <w:rsid w:val="003A277C"/>
    <w:rsid w:val="003C5E8C"/>
    <w:rsid w:val="003F6FFA"/>
    <w:rsid w:val="00406F65"/>
    <w:rsid w:val="004156AC"/>
    <w:rsid w:val="00420FEE"/>
    <w:rsid w:val="004222BD"/>
    <w:rsid w:val="00427683"/>
    <w:rsid w:val="0043104B"/>
    <w:rsid w:val="0043275F"/>
    <w:rsid w:val="004364D6"/>
    <w:rsid w:val="00436512"/>
    <w:rsid w:val="004366C4"/>
    <w:rsid w:val="0043742F"/>
    <w:rsid w:val="004403D3"/>
    <w:rsid w:val="00441AC8"/>
    <w:rsid w:val="004540F7"/>
    <w:rsid w:val="0046337C"/>
    <w:rsid w:val="00484890"/>
    <w:rsid w:val="00485F53"/>
    <w:rsid w:val="00486617"/>
    <w:rsid w:val="004901E8"/>
    <w:rsid w:val="004B281E"/>
    <w:rsid w:val="004B6143"/>
    <w:rsid w:val="004C13D8"/>
    <w:rsid w:val="004C28C3"/>
    <w:rsid w:val="004C602C"/>
    <w:rsid w:val="004C7EE0"/>
    <w:rsid w:val="004E269F"/>
    <w:rsid w:val="004E4950"/>
    <w:rsid w:val="004F23E9"/>
    <w:rsid w:val="00502ED8"/>
    <w:rsid w:val="00512903"/>
    <w:rsid w:val="00513A3F"/>
    <w:rsid w:val="00515F98"/>
    <w:rsid w:val="00545155"/>
    <w:rsid w:val="005527C2"/>
    <w:rsid w:val="00553DB6"/>
    <w:rsid w:val="00575A45"/>
    <w:rsid w:val="0057798B"/>
    <w:rsid w:val="0058576F"/>
    <w:rsid w:val="005A1EA9"/>
    <w:rsid w:val="005A7886"/>
    <w:rsid w:val="005B3A51"/>
    <w:rsid w:val="005B3E7A"/>
    <w:rsid w:val="005C25D7"/>
    <w:rsid w:val="005C4F59"/>
    <w:rsid w:val="005D6B85"/>
    <w:rsid w:val="005F7E82"/>
    <w:rsid w:val="00624594"/>
    <w:rsid w:val="00626125"/>
    <w:rsid w:val="0063021D"/>
    <w:rsid w:val="00652E05"/>
    <w:rsid w:val="006818F1"/>
    <w:rsid w:val="00695845"/>
    <w:rsid w:val="006A1D11"/>
    <w:rsid w:val="006A6B94"/>
    <w:rsid w:val="006C42EB"/>
    <w:rsid w:val="006D2815"/>
    <w:rsid w:val="006E07EA"/>
    <w:rsid w:val="006F3315"/>
    <w:rsid w:val="006F4FE2"/>
    <w:rsid w:val="006F73A2"/>
    <w:rsid w:val="00701812"/>
    <w:rsid w:val="0071172E"/>
    <w:rsid w:val="007353A2"/>
    <w:rsid w:val="0074482A"/>
    <w:rsid w:val="00754107"/>
    <w:rsid w:val="00755FCF"/>
    <w:rsid w:val="00762274"/>
    <w:rsid w:val="007627E8"/>
    <w:rsid w:val="00766A4F"/>
    <w:rsid w:val="00784DC9"/>
    <w:rsid w:val="007A5DA0"/>
    <w:rsid w:val="007B32DA"/>
    <w:rsid w:val="007B7E29"/>
    <w:rsid w:val="007D20FD"/>
    <w:rsid w:val="007D66DD"/>
    <w:rsid w:val="007E1E44"/>
    <w:rsid w:val="007E3755"/>
    <w:rsid w:val="007F0029"/>
    <w:rsid w:val="0081027B"/>
    <w:rsid w:val="008128B8"/>
    <w:rsid w:val="00817619"/>
    <w:rsid w:val="00826927"/>
    <w:rsid w:val="0083790C"/>
    <w:rsid w:val="008440BB"/>
    <w:rsid w:val="0087196F"/>
    <w:rsid w:val="0089042D"/>
    <w:rsid w:val="008A3C8B"/>
    <w:rsid w:val="008A3D60"/>
    <w:rsid w:val="008D0C1C"/>
    <w:rsid w:val="008E00C3"/>
    <w:rsid w:val="008E02E1"/>
    <w:rsid w:val="008E54AD"/>
    <w:rsid w:val="008E5BDB"/>
    <w:rsid w:val="008F1C39"/>
    <w:rsid w:val="00900CAF"/>
    <w:rsid w:val="0090797A"/>
    <w:rsid w:val="00920377"/>
    <w:rsid w:val="00933857"/>
    <w:rsid w:val="009340A2"/>
    <w:rsid w:val="0096264E"/>
    <w:rsid w:val="00971ADC"/>
    <w:rsid w:val="009772B5"/>
    <w:rsid w:val="009915F3"/>
    <w:rsid w:val="009942D7"/>
    <w:rsid w:val="009A0F34"/>
    <w:rsid w:val="009B768C"/>
    <w:rsid w:val="009B7917"/>
    <w:rsid w:val="009B7D25"/>
    <w:rsid w:val="009C33F9"/>
    <w:rsid w:val="009E183B"/>
    <w:rsid w:val="009E21F1"/>
    <w:rsid w:val="009E3162"/>
    <w:rsid w:val="009F6F1D"/>
    <w:rsid w:val="009F7D57"/>
    <w:rsid w:val="00A24D5C"/>
    <w:rsid w:val="00A42215"/>
    <w:rsid w:val="00A6509A"/>
    <w:rsid w:val="00A80AEF"/>
    <w:rsid w:val="00AA31F8"/>
    <w:rsid w:val="00AA3A63"/>
    <w:rsid w:val="00AA7E0C"/>
    <w:rsid w:val="00AC3D95"/>
    <w:rsid w:val="00AC586E"/>
    <w:rsid w:val="00AF35BE"/>
    <w:rsid w:val="00AF717B"/>
    <w:rsid w:val="00B10F33"/>
    <w:rsid w:val="00B20886"/>
    <w:rsid w:val="00B22212"/>
    <w:rsid w:val="00B60AD2"/>
    <w:rsid w:val="00B7126E"/>
    <w:rsid w:val="00B903E9"/>
    <w:rsid w:val="00B90C5B"/>
    <w:rsid w:val="00B93A0C"/>
    <w:rsid w:val="00BF2F4D"/>
    <w:rsid w:val="00BF4040"/>
    <w:rsid w:val="00BF6366"/>
    <w:rsid w:val="00C04FA4"/>
    <w:rsid w:val="00C1029C"/>
    <w:rsid w:val="00C23AA1"/>
    <w:rsid w:val="00C3212E"/>
    <w:rsid w:val="00C5291B"/>
    <w:rsid w:val="00C5402E"/>
    <w:rsid w:val="00C65ED6"/>
    <w:rsid w:val="00C736E3"/>
    <w:rsid w:val="00C747ED"/>
    <w:rsid w:val="00C84DEA"/>
    <w:rsid w:val="00C935EB"/>
    <w:rsid w:val="00CA074D"/>
    <w:rsid w:val="00CC285D"/>
    <w:rsid w:val="00CC6B0E"/>
    <w:rsid w:val="00D044DC"/>
    <w:rsid w:val="00D07B36"/>
    <w:rsid w:val="00D16864"/>
    <w:rsid w:val="00D34406"/>
    <w:rsid w:val="00D3645D"/>
    <w:rsid w:val="00D37829"/>
    <w:rsid w:val="00D53FD8"/>
    <w:rsid w:val="00D560B0"/>
    <w:rsid w:val="00D90A89"/>
    <w:rsid w:val="00D94AC5"/>
    <w:rsid w:val="00DA1879"/>
    <w:rsid w:val="00DA1DB9"/>
    <w:rsid w:val="00DB00F0"/>
    <w:rsid w:val="00DC173E"/>
    <w:rsid w:val="00DD0C99"/>
    <w:rsid w:val="00DD1D62"/>
    <w:rsid w:val="00DE227E"/>
    <w:rsid w:val="00DF190C"/>
    <w:rsid w:val="00E01181"/>
    <w:rsid w:val="00E142E3"/>
    <w:rsid w:val="00E31F8A"/>
    <w:rsid w:val="00E71D90"/>
    <w:rsid w:val="00E72459"/>
    <w:rsid w:val="00E731C5"/>
    <w:rsid w:val="00E8475E"/>
    <w:rsid w:val="00E8766F"/>
    <w:rsid w:val="00E95833"/>
    <w:rsid w:val="00EB2E12"/>
    <w:rsid w:val="00ED1E2C"/>
    <w:rsid w:val="00EF4444"/>
    <w:rsid w:val="00EF744B"/>
    <w:rsid w:val="00F109CA"/>
    <w:rsid w:val="00F2061D"/>
    <w:rsid w:val="00F22747"/>
    <w:rsid w:val="00F355AB"/>
    <w:rsid w:val="00F46C2D"/>
    <w:rsid w:val="00F522B1"/>
    <w:rsid w:val="00F73BA8"/>
    <w:rsid w:val="00F777DE"/>
    <w:rsid w:val="00F96089"/>
    <w:rsid w:val="00FA6F0D"/>
    <w:rsid w:val="00FB7C3D"/>
    <w:rsid w:val="00FC1DA3"/>
    <w:rsid w:val="00FC22A1"/>
    <w:rsid w:val="00FE12EB"/>
    <w:rsid w:val="00FE41BB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D6F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20FD"/>
    <w:rPr>
      <w:sz w:val="22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54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semiHidden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  <w:semiHidden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val="en-GB" w:eastAsia="en-US"/>
    </w:rPr>
  </w:style>
  <w:style w:type="paragraph" w:customStyle="1" w:styleId="STMalatunniste">
    <w:name w:val="STM alatunniste"/>
    <w:rPr>
      <w:noProof/>
      <w:lang w:val="en-GB"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Pr>
      <w:noProof/>
      <w:sz w:val="24"/>
      <w:lang w:val="en-GB"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TwebTeksti">
    <w:name w:val="TwebTeksti"/>
    <w:rPr>
      <w:sz w:val="24"/>
    </w:rPr>
  </w:style>
  <w:style w:type="paragraph" w:customStyle="1" w:styleId="STMISO">
    <w:name w:val="STMISO"/>
    <w:rPr>
      <w:caps/>
      <w:sz w:val="24"/>
    </w:rPr>
  </w:style>
  <w:style w:type="paragraph" w:customStyle="1" w:styleId="TwebOtsikko">
    <w:name w:val="TwebOtsikko"/>
    <w:basedOn w:val="TwebTeksti"/>
    <w:next w:val="TwebAsiateksti1"/>
    <w:rPr>
      <w:caps/>
      <w:lang w:eastAsia="en-US"/>
    </w:rPr>
  </w:style>
  <w:style w:type="paragraph" w:customStyle="1" w:styleId="TwebAsiateksti1">
    <w:name w:val="TwebAsiateksti1"/>
    <w:basedOn w:val="TwebTeksti"/>
    <w:pPr>
      <w:ind w:left="2608"/>
    </w:pPr>
    <w:rPr>
      <w:lang w:eastAsia="en-US"/>
    </w:rPr>
  </w:style>
  <w:style w:type="paragraph" w:customStyle="1" w:styleId="TwebLuettelo">
    <w:name w:val="TwebLuettelo"/>
    <w:basedOn w:val="TwebTeksti"/>
    <w:pPr>
      <w:ind w:left="3895" w:hanging="1304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Yltunniste">
    <w:name w:val="TwebYlätunniste"/>
    <w:basedOn w:val="TwebTeksti"/>
    <w:rPr>
      <w:sz w:val="20"/>
      <w:lang w:eastAsia="en-US"/>
    </w:rPr>
  </w:style>
  <w:style w:type="paragraph" w:customStyle="1" w:styleId="TwebAlatunniste">
    <w:name w:val="TwebAlatunniste"/>
    <w:basedOn w:val="TwebTeksti"/>
    <w:rPr>
      <w:sz w:val="20"/>
      <w:lang w:eastAsia="en-US"/>
    </w:rPr>
  </w:style>
  <w:style w:type="paragraph" w:customStyle="1" w:styleId="TwebTallennustieto">
    <w:name w:val="TwebTallennustieto"/>
    <w:basedOn w:val="TwebTeksti"/>
    <w:rPr>
      <w:sz w:val="18"/>
      <w:lang w:eastAsia="en-US"/>
    </w:rPr>
  </w:style>
  <w:style w:type="paragraph" w:customStyle="1" w:styleId="KuntaToimistoTeksti">
    <w:name w:val="KuntaToimistoTeksti"/>
    <w:rPr>
      <w:sz w:val="24"/>
    </w:rPr>
  </w:style>
  <w:style w:type="paragraph" w:customStyle="1" w:styleId="Asialuettelo">
    <w:name w:val="Asialuettelo"/>
    <w:basedOn w:val="KuntaToimistoTeksti"/>
    <w:pPr>
      <w:ind w:left="3912" w:hanging="1304"/>
    </w:pPr>
  </w:style>
  <w:style w:type="paragraph" w:customStyle="1" w:styleId="Asiaotsikko">
    <w:name w:val="Asiaotsikko"/>
    <w:basedOn w:val="Normaali"/>
    <w:next w:val="Normaali"/>
    <w:pPr>
      <w:tabs>
        <w:tab w:val="left" w:pos="1304"/>
      </w:tabs>
      <w:ind w:left="1304" w:hanging="1304"/>
    </w:pPr>
    <w:rPr>
      <w:b/>
      <w:szCs w:val="20"/>
      <w:lang w:eastAsia="fi-FI"/>
    </w:rPr>
  </w:style>
  <w:style w:type="paragraph" w:customStyle="1" w:styleId="Asiateksti">
    <w:name w:val="Asiateksti"/>
    <w:basedOn w:val="Normaali"/>
    <w:pPr>
      <w:ind w:left="1304" w:hanging="1304"/>
    </w:pPr>
    <w:rPr>
      <w:szCs w:val="20"/>
      <w:lang w:eastAsia="fi-FI"/>
    </w:rPr>
  </w:style>
  <w:style w:type="paragraph" w:styleId="Sisluet1">
    <w:name w:val="toc 1"/>
    <w:basedOn w:val="KuntaToimistoTeksti"/>
    <w:autoRedefine/>
    <w:semiHidden/>
    <w:pPr>
      <w:tabs>
        <w:tab w:val="left" w:pos="1985"/>
        <w:tab w:val="right" w:leader="dot" w:pos="9923"/>
      </w:tabs>
      <w:spacing w:after="240"/>
      <w:ind w:left="1984" w:right="851" w:hanging="680"/>
    </w:pPr>
  </w:style>
  <w:style w:type="paragraph" w:customStyle="1" w:styleId="stmviite1">
    <w:name w:val="stmviite1"/>
    <w:basedOn w:val="stmviite"/>
    <w:next w:val="stmnormaali0"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BF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uiPriority w:val="99"/>
    <w:semiHidden/>
    <w:unhideWhenUsed/>
    <w:rsid w:val="003507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507D7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3507D7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507D7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3507D7"/>
    <w:rPr>
      <w:b/>
      <w:bCs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F2061D"/>
    <w:rPr>
      <w:sz w:val="22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154B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8436-8633-4C08-ACF1-909A9D33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12840</Characters>
  <Application>Microsoft Office Word</Application>
  <DocSecurity>0</DocSecurity>
  <Lines>107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2020-03-03T13:16:00Z</dcterms:created>
  <dcterms:modified xsi:type="dcterms:W3CDTF">2020-03-03T14:03:00Z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