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C5" w:rsidRDefault="00C833C5">
      <w:pPr>
        <w:pStyle w:val="Otsikko1"/>
      </w:pPr>
    </w:p>
    <w:p w:rsidR="00C833C5" w:rsidRPr="00E136C9" w:rsidRDefault="00C833C5" w:rsidP="00C833C5"/>
    <w:p w:rsidR="00C833C5" w:rsidRPr="00564853" w:rsidRDefault="00C833C5" w:rsidP="00564853">
      <w:pPr>
        <w:pStyle w:val="Otsikko1"/>
      </w:pPr>
      <w:r w:rsidRPr="00564853">
        <w:t>PRODUCTION AND RESEARCH USE OF MEDICINAL PRODUCTS CONTAINING GENETICALLY MODIFIED ORGANISMS FROM THE PERSPECTIVE OF THE GENE TECHNOLOGY ACT</w:t>
      </w:r>
    </w:p>
    <w:p w:rsidR="00564853" w:rsidRPr="00B44A14" w:rsidRDefault="00564853" w:rsidP="00F36E8E">
      <w:pPr>
        <w:spacing w:line="276" w:lineRule="auto"/>
        <w:rPr>
          <w:rFonts w:cs="Arial"/>
          <w:sz w:val="22"/>
          <w:szCs w:val="22"/>
          <w:lang w:val="en-US" w:eastAsia="fi-FI"/>
        </w:rPr>
      </w:pPr>
      <w:r w:rsidRPr="00B44A14">
        <w:rPr>
          <w:rFonts w:cs="Arial"/>
          <w:sz w:val="22"/>
          <w:szCs w:val="22"/>
          <w:lang w:val="en-US" w:eastAsia="fi-FI"/>
        </w:rPr>
        <w:t>Board for Gene Technology</w:t>
      </w:r>
    </w:p>
    <w:p w:rsidR="00C833C5" w:rsidRPr="002A4DE7" w:rsidRDefault="00C833C5" w:rsidP="001B025D">
      <w:pPr>
        <w:pStyle w:val="Otsikko2"/>
        <w:rPr>
          <w:lang w:val="en-US" w:eastAsia="fi-FI"/>
        </w:rPr>
      </w:pPr>
      <w:bookmarkStart w:id="0" w:name="_GoBack"/>
      <w:bookmarkEnd w:id="0"/>
      <w:r w:rsidRPr="002A4DE7">
        <w:rPr>
          <w:lang w:val="en-US" w:eastAsia="fi-FI"/>
        </w:rPr>
        <w:t>Introduction</w:t>
      </w:r>
    </w:p>
    <w:p w:rsidR="00BE16C0" w:rsidRDefault="002215E9" w:rsidP="00F27E73">
      <w:pPr>
        <w:spacing w:after="240" w:line="276" w:lineRule="auto"/>
        <w:rPr>
          <w:szCs w:val="24"/>
        </w:rPr>
      </w:pPr>
      <w:proofErr w:type="gramStart"/>
      <w:r>
        <w:rPr>
          <w:szCs w:val="24"/>
        </w:rPr>
        <w:t>Production of medicinal products containing genetically modified organisms (GMO), their preclinical and clinical trials</w:t>
      </w:r>
      <w:r w:rsidR="002A4DE7">
        <w:rPr>
          <w:szCs w:val="24"/>
        </w:rPr>
        <w:t>,</w:t>
      </w:r>
      <w:r>
        <w:rPr>
          <w:szCs w:val="24"/>
        </w:rPr>
        <w:t xml:space="preserve"> </w:t>
      </w:r>
      <w:r w:rsidR="00AF23AB">
        <w:rPr>
          <w:szCs w:val="24"/>
        </w:rPr>
        <w:t>as well as</w:t>
      </w:r>
      <w:r>
        <w:rPr>
          <w:szCs w:val="24"/>
        </w:rPr>
        <w:t xml:space="preserve"> experimental treatment</w:t>
      </w:r>
      <w:r w:rsidR="002A4DE7">
        <w:rPr>
          <w:szCs w:val="24"/>
        </w:rPr>
        <w:t>s</w:t>
      </w:r>
      <w:r>
        <w:rPr>
          <w:szCs w:val="24"/>
        </w:rPr>
        <w:t xml:space="preserve"> with GMO medicin</w:t>
      </w:r>
      <w:r w:rsidR="0092716D">
        <w:rPr>
          <w:szCs w:val="24"/>
        </w:rPr>
        <w:t>al products</w:t>
      </w:r>
      <w:r w:rsidR="00AF23AB">
        <w:rPr>
          <w:szCs w:val="24"/>
        </w:rPr>
        <w:t xml:space="preserve"> </w:t>
      </w:r>
      <w:r w:rsidR="004817E1">
        <w:rPr>
          <w:szCs w:val="24"/>
        </w:rPr>
        <w:t>are covered by</w:t>
      </w:r>
      <w:r w:rsidR="00BE16C0">
        <w:rPr>
          <w:szCs w:val="24"/>
        </w:rPr>
        <w:t xml:space="preserve"> </w:t>
      </w:r>
      <w:r w:rsidR="002A4DE7">
        <w:rPr>
          <w:szCs w:val="24"/>
        </w:rPr>
        <w:t xml:space="preserve">the </w:t>
      </w:r>
      <w:r w:rsidR="00BE16C0">
        <w:rPr>
          <w:szCs w:val="24"/>
        </w:rPr>
        <w:t>Gene Technology Act (377/1995)</w:t>
      </w:r>
      <w:proofErr w:type="gramEnd"/>
      <w:r w:rsidR="00BE16C0">
        <w:rPr>
          <w:szCs w:val="24"/>
        </w:rPr>
        <w:t>, if the GMO in question has not yet been approved</w:t>
      </w:r>
      <w:r w:rsidR="00AF23AB">
        <w:rPr>
          <w:szCs w:val="24"/>
        </w:rPr>
        <w:t xml:space="preserve"> </w:t>
      </w:r>
      <w:r w:rsidR="00BE16C0">
        <w:rPr>
          <w:szCs w:val="24"/>
        </w:rPr>
        <w:t xml:space="preserve">for marketing in the EU. </w:t>
      </w:r>
      <w:r w:rsidR="00BE16C0" w:rsidRPr="00343268">
        <w:rPr>
          <w:szCs w:val="24"/>
        </w:rPr>
        <w:t>Dependi</w:t>
      </w:r>
      <w:r w:rsidR="00BE16C0">
        <w:rPr>
          <w:szCs w:val="24"/>
        </w:rPr>
        <w:t>ng on the properties of the GMO</w:t>
      </w:r>
      <w:r w:rsidR="00BE16C0" w:rsidRPr="00343268">
        <w:rPr>
          <w:szCs w:val="24"/>
        </w:rPr>
        <w:t xml:space="preserve"> and the arrangements</w:t>
      </w:r>
      <w:r w:rsidR="0092716D">
        <w:rPr>
          <w:szCs w:val="24"/>
        </w:rPr>
        <w:t xml:space="preserve"> in the testing</w:t>
      </w:r>
      <w:r w:rsidR="00BE16C0" w:rsidRPr="00343268">
        <w:rPr>
          <w:szCs w:val="24"/>
        </w:rPr>
        <w:t xml:space="preserve">, the activities fall </w:t>
      </w:r>
      <w:r w:rsidR="00BE16C0">
        <w:rPr>
          <w:szCs w:val="24"/>
        </w:rPr>
        <w:t xml:space="preserve">either </w:t>
      </w:r>
      <w:r w:rsidR="00BE16C0" w:rsidRPr="00343268">
        <w:rPr>
          <w:szCs w:val="24"/>
        </w:rPr>
        <w:t xml:space="preserve">under the scope of </w:t>
      </w:r>
      <w:r w:rsidR="002A4DE7">
        <w:rPr>
          <w:szCs w:val="24"/>
        </w:rPr>
        <w:t xml:space="preserve">regulations on </w:t>
      </w:r>
      <w:r w:rsidR="00BE16C0" w:rsidRPr="00343268">
        <w:rPr>
          <w:szCs w:val="24"/>
        </w:rPr>
        <w:t>the contained use of GMOs</w:t>
      </w:r>
      <w:r w:rsidR="0092716D">
        <w:rPr>
          <w:szCs w:val="24"/>
        </w:rPr>
        <w:t>,</w:t>
      </w:r>
      <w:r w:rsidR="00BE16C0" w:rsidRPr="00343268">
        <w:rPr>
          <w:szCs w:val="24"/>
        </w:rPr>
        <w:t xml:space="preserve"> or </w:t>
      </w:r>
      <w:r w:rsidR="002A4DE7">
        <w:rPr>
          <w:szCs w:val="24"/>
        </w:rPr>
        <w:t xml:space="preserve">those on the </w:t>
      </w:r>
      <w:r w:rsidR="00BE16C0" w:rsidRPr="00343268">
        <w:rPr>
          <w:szCs w:val="24"/>
        </w:rPr>
        <w:t>deliberate release of GMOs into the environment for any other purpose than for placing on the market (</w:t>
      </w:r>
      <w:r w:rsidR="00BE16C0">
        <w:rPr>
          <w:szCs w:val="24"/>
        </w:rPr>
        <w:t xml:space="preserve">so called </w:t>
      </w:r>
      <w:r w:rsidR="00BE16C0" w:rsidRPr="00343268">
        <w:rPr>
          <w:szCs w:val="24"/>
        </w:rPr>
        <w:t>field trials).</w:t>
      </w:r>
    </w:p>
    <w:p w:rsidR="00C833C5" w:rsidRPr="00343268" w:rsidRDefault="00184F65" w:rsidP="004817E1">
      <w:pPr>
        <w:spacing w:after="240" w:line="276" w:lineRule="auto"/>
        <w:rPr>
          <w:szCs w:val="24"/>
        </w:rPr>
      </w:pPr>
      <w:r w:rsidRPr="00BE16C0">
        <w:rPr>
          <w:szCs w:val="24"/>
        </w:rPr>
        <w:t>For such use in Finland</w:t>
      </w:r>
      <w:r w:rsidR="002A4DE7">
        <w:rPr>
          <w:szCs w:val="24"/>
        </w:rPr>
        <w:t>,</w:t>
      </w:r>
      <w:r w:rsidRPr="00343268">
        <w:rPr>
          <w:szCs w:val="24"/>
        </w:rPr>
        <w:t xml:space="preserve"> </w:t>
      </w:r>
      <w:r>
        <w:rPr>
          <w:szCs w:val="24"/>
        </w:rPr>
        <w:t>t</w:t>
      </w:r>
      <w:r w:rsidR="00C833C5" w:rsidRPr="00343268">
        <w:rPr>
          <w:szCs w:val="24"/>
        </w:rPr>
        <w:t>he operator must</w:t>
      </w:r>
      <w:r w:rsidR="00BE16C0">
        <w:rPr>
          <w:szCs w:val="24"/>
        </w:rPr>
        <w:t xml:space="preserve"> </w:t>
      </w:r>
      <w:r w:rsidR="00C833C5" w:rsidRPr="00BE16C0">
        <w:rPr>
          <w:szCs w:val="24"/>
        </w:rPr>
        <w:t>submit a notification or application to the Board for Gene Technology</w:t>
      </w:r>
      <w:r w:rsidR="00C833C5" w:rsidRPr="00343268">
        <w:rPr>
          <w:szCs w:val="24"/>
        </w:rPr>
        <w:t xml:space="preserve"> (GTLK). </w:t>
      </w:r>
      <w:r w:rsidR="001D3068">
        <w:rPr>
          <w:szCs w:val="24"/>
        </w:rPr>
        <w:t xml:space="preserve">The notification or </w:t>
      </w:r>
      <w:r w:rsidR="0092716D">
        <w:rPr>
          <w:szCs w:val="24"/>
        </w:rPr>
        <w:t xml:space="preserve">the </w:t>
      </w:r>
      <w:r w:rsidR="001D3068">
        <w:rPr>
          <w:szCs w:val="24"/>
        </w:rPr>
        <w:t xml:space="preserve">field trial </w:t>
      </w:r>
      <w:r w:rsidR="00D72F65">
        <w:rPr>
          <w:szCs w:val="24"/>
        </w:rPr>
        <w:t>licence</w:t>
      </w:r>
      <w:r w:rsidR="001D3068">
        <w:rPr>
          <w:szCs w:val="24"/>
        </w:rPr>
        <w:t xml:space="preserve"> must be </w:t>
      </w:r>
      <w:r w:rsidR="002A4DE7">
        <w:rPr>
          <w:szCs w:val="24"/>
        </w:rPr>
        <w:t>valid</w:t>
      </w:r>
      <w:r w:rsidR="001D3068">
        <w:rPr>
          <w:szCs w:val="24"/>
        </w:rPr>
        <w:t xml:space="preserve"> before commencing the use. </w:t>
      </w:r>
      <w:r w:rsidR="00D72F65" w:rsidRPr="00D72F65">
        <w:rPr>
          <w:szCs w:val="24"/>
        </w:rPr>
        <w:t>The tim</w:t>
      </w:r>
      <w:r w:rsidR="0092716D">
        <w:rPr>
          <w:szCs w:val="24"/>
        </w:rPr>
        <w:t xml:space="preserve">ing for submitting </w:t>
      </w:r>
      <w:r w:rsidR="00D72F65" w:rsidRPr="00D72F65">
        <w:rPr>
          <w:szCs w:val="24"/>
        </w:rPr>
        <w:t xml:space="preserve">the notification or application </w:t>
      </w:r>
      <w:r w:rsidR="0092716D">
        <w:rPr>
          <w:szCs w:val="24"/>
        </w:rPr>
        <w:t>to GTLK</w:t>
      </w:r>
      <w:r w:rsidR="00D72F65" w:rsidRPr="00D72F65">
        <w:rPr>
          <w:szCs w:val="24"/>
        </w:rPr>
        <w:t xml:space="preserve"> is </w:t>
      </w:r>
      <w:r w:rsidR="0092716D">
        <w:rPr>
          <w:szCs w:val="24"/>
        </w:rPr>
        <w:t>inde</w:t>
      </w:r>
      <w:r w:rsidR="00D72F65" w:rsidRPr="00D72F65">
        <w:rPr>
          <w:szCs w:val="24"/>
        </w:rPr>
        <w:t xml:space="preserve">pendent on </w:t>
      </w:r>
      <w:r w:rsidR="00D72F65">
        <w:rPr>
          <w:szCs w:val="24"/>
        </w:rPr>
        <w:t>licence</w:t>
      </w:r>
      <w:r w:rsidR="00D72F65" w:rsidRPr="00D72F65">
        <w:rPr>
          <w:szCs w:val="24"/>
        </w:rPr>
        <w:t xml:space="preserve"> applications submitted to other authorities.</w:t>
      </w:r>
      <w:r w:rsidR="000810A1">
        <w:rPr>
          <w:szCs w:val="24"/>
        </w:rPr>
        <w:t xml:space="preserve"> I</w:t>
      </w:r>
      <w:r w:rsidR="00C833C5" w:rsidRPr="00343268">
        <w:rPr>
          <w:szCs w:val="24"/>
        </w:rPr>
        <w:t xml:space="preserve">f the GMOs </w:t>
      </w:r>
      <w:proofErr w:type="gramStart"/>
      <w:r w:rsidR="00C833C5" w:rsidRPr="00343268">
        <w:rPr>
          <w:szCs w:val="24"/>
        </w:rPr>
        <w:t>are imported</w:t>
      </w:r>
      <w:proofErr w:type="gramEnd"/>
      <w:r w:rsidR="00C833C5" w:rsidRPr="00343268">
        <w:rPr>
          <w:szCs w:val="24"/>
        </w:rPr>
        <w:t xml:space="preserve"> to F</w:t>
      </w:r>
      <w:r w:rsidR="001D3068">
        <w:rPr>
          <w:szCs w:val="24"/>
        </w:rPr>
        <w:t>inland,</w:t>
      </w:r>
      <w:r w:rsidR="001D3068" w:rsidRPr="001D3068">
        <w:rPr>
          <w:szCs w:val="24"/>
        </w:rPr>
        <w:t xml:space="preserve"> </w:t>
      </w:r>
      <w:r w:rsidR="001D3068" w:rsidRPr="00343268">
        <w:rPr>
          <w:szCs w:val="24"/>
        </w:rPr>
        <w:t xml:space="preserve">the appropriate notification </w:t>
      </w:r>
      <w:r w:rsidR="001D3068">
        <w:rPr>
          <w:szCs w:val="24"/>
        </w:rPr>
        <w:t>or</w:t>
      </w:r>
      <w:r w:rsidR="001D3068" w:rsidRPr="00343268">
        <w:rPr>
          <w:szCs w:val="24"/>
        </w:rPr>
        <w:t xml:space="preserve"> </w:t>
      </w:r>
      <w:r w:rsidR="00D72F65">
        <w:rPr>
          <w:szCs w:val="24"/>
        </w:rPr>
        <w:t>licence</w:t>
      </w:r>
      <w:r w:rsidR="001D3068" w:rsidRPr="00343268">
        <w:rPr>
          <w:szCs w:val="24"/>
        </w:rPr>
        <w:t xml:space="preserve"> mus</w:t>
      </w:r>
      <w:r w:rsidR="001D3068">
        <w:rPr>
          <w:szCs w:val="24"/>
        </w:rPr>
        <w:t xml:space="preserve">t be in effect before </w:t>
      </w:r>
      <w:r w:rsidR="00D72F65">
        <w:rPr>
          <w:szCs w:val="24"/>
        </w:rPr>
        <w:t>trans</w:t>
      </w:r>
      <w:r w:rsidR="001D3068">
        <w:rPr>
          <w:szCs w:val="24"/>
        </w:rPr>
        <w:t>port</w:t>
      </w:r>
      <w:r w:rsidR="00C833C5" w:rsidRPr="00343268">
        <w:rPr>
          <w:szCs w:val="24"/>
        </w:rPr>
        <w:t>.</w:t>
      </w:r>
    </w:p>
    <w:p w:rsidR="00C833C5" w:rsidRPr="00B44A14" w:rsidRDefault="0092716D" w:rsidP="004817E1">
      <w:pPr>
        <w:spacing w:line="276" w:lineRule="auto"/>
        <w:rPr>
          <w:b/>
          <w:lang w:val="en-US" w:eastAsia="fi-FI"/>
        </w:rPr>
      </w:pPr>
      <w:r w:rsidRPr="0092716D">
        <w:rPr>
          <w:b/>
          <w:lang w:val="en-US" w:eastAsia="fi-FI"/>
        </w:rPr>
        <w:t xml:space="preserve">The notification or application procedure under the Gene technology Act is determined </w:t>
      </w:r>
      <w:proofErr w:type="gramStart"/>
      <w:r w:rsidRPr="0092716D">
        <w:rPr>
          <w:b/>
          <w:lang w:val="en-US" w:eastAsia="fi-FI"/>
        </w:rPr>
        <w:t>on the basis of</w:t>
      </w:r>
      <w:proofErr w:type="gramEnd"/>
      <w:r w:rsidRPr="0092716D">
        <w:rPr>
          <w:b/>
          <w:lang w:val="en-US" w:eastAsia="fi-FI"/>
        </w:rPr>
        <w:t xml:space="preserve"> the following matters:</w:t>
      </w:r>
      <w:r w:rsidR="00C833C5" w:rsidRPr="00B44A14">
        <w:rPr>
          <w:b/>
          <w:lang w:val="en-US" w:eastAsia="fi-FI"/>
        </w:rPr>
        <w:t xml:space="preserve"> </w:t>
      </w:r>
    </w:p>
    <w:p w:rsidR="00C833C5" w:rsidRPr="00343268" w:rsidRDefault="00C833C5">
      <w:pPr>
        <w:rPr>
          <w:szCs w:val="24"/>
        </w:rPr>
      </w:pPr>
    </w:p>
    <w:p w:rsidR="00C833C5" w:rsidRPr="00343268" w:rsidRDefault="00C833C5" w:rsidP="00DA1B51">
      <w:pPr>
        <w:numPr>
          <w:ilvl w:val="0"/>
          <w:numId w:val="2"/>
        </w:numPr>
        <w:spacing w:line="276" w:lineRule="auto"/>
        <w:rPr>
          <w:szCs w:val="24"/>
        </w:rPr>
      </w:pPr>
      <w:r w:rsidRPr="00343268">
        <w:rPr>
          <w:szCs w:val="24"/>
        </w:rPr>
        <w:t xml:space="preserve">The GMO must be </w:t>
      </w:r>
      <w:r w:rsidR="00D72F65">
        <w:rPr>
          <w:szCs w:val="24"/>
        </w:rPr>
        <w:t xml:space="preserve">a living organism </w:t>
      </w:r>
      <w:r w:rsidRPr="00343268">
        <w:rPr>
          <w:szCs w:val="24"/>
        </w:rPr>
        <w:t xml:space="preserve">and meet the definition of </w:t>
      </w:r>
      <w:r w:rsidR="00184F65">
        <w:rPr>
          <w:szCs w:val="24"/>
        </w:rPr>
        <w:t>a</w:t>
      </w:r>
      <w:r w:rsidRPr="00343268">
        <w:rPr>
          <w:szCs w:val="24"/>
        </w:rPr>
        <w:t xml:space="preserve"> genetic</w:t>
      </w:r>
      <w:r w:rsidR="00A31DE0">
        <w:rPr>
          <w:szCs w:val="24"/>
        </w:rPr>
        <w:t>ally modified organism</w:t>
      </w:r>
      <w:r w:rsidRPr="00343268">
        <w:rPr>
          <w:szCs w:val="24"/>
        </w:rPr>
        <w:t xml:space="preserve"> in section 1 of the Government Decree 928/2004. Please note that there are s</w:t>
      </w:r>
      <w:r w:rsidR="00D72F65">
        <w:rPr>
          <w:szCs w:val="24"/>
        </w:rPr>
        <w:t>mall</w:t>
      </w:r>
      <w:r w:rsidRPr="00343268">
        <w:rPr>
          <w:szCs w:val="24"/>
        </w:rPr>
        <w:t xml:space="preserve"> differences between the </w:t>
      </w:r>
      <w:r w:rsidR="00D72F65">
        <w:rPr>
          <w:szCs w:val="24"/>
        </w:rPr>
        <w:t xml:space="preserve">GMO </w:t>
      </w:r>
      <w:r w:rsidRPr="00343268">
        <w:rPr>
          <w:szCs w:val="24"/>
        </w:rPr>
        <w:t xml:space="preserve">definitions in </w:t>
      </w:r>
      <w:r w:rsidR="00D72F65">
        <w:rPr>
          <w:szCs w:val="24"/>
        </w:rPr>
        <w:t xml:space="preserve">the </w:t>
      </w:r>
      <w:r w:rsidRPr="00343268">
        <w:rPr>
          <w:szCs w:val="24"/>
        </w:rPr>
        <w:t xml:space="preserve">contained use and deliberate release </w:t>
      </w:r>
      <w:r w:rsidR="00D72F65">
        <w:rPr>
          <w:szCs w:val="24"/>
        </w:rPr>
        <w:t>legislation</w:t>
      </w:r>
      <w:r w:rsidR="0092716D">
        <w:rPr>
          <w:szCs w:val="24"/>
        </w:rPr>
        <w:t>s</w:t>
      </w:r>
      <w:r w:rsidR="00D72F65">
        <w:rPr>
          <w:szCs w:val="24"/>
        </w:rPr>
        <w:t xml:space="preserve"> </w:t>
      </w:r>
      <w:r w:rsidRPr="00343268">
        <w:rPr>
          <w:szCs w:val="24"/>
        </w:rPr>
        <w:t>(for example</w:t>
      </w:r>
      <w:r w:rsidR="00D72F65">
        <w:rPr>
          <w:szCs w:val="24"/>
        </w:rPr>
        <w:t xml:space="preserve"> regarding</w:t>
      </w:r>
      <w:r w:rsidRPr="00343268">
        <w:rPr>
          <w:szCs w:val="24"/>
        </w:rPr>
        <w:t xml:space="preserve"> self-cloning). </w:t>
      </w:r>
      <w:r w:rsidR="00DA1B51" w:rsidRPr="00DA1B51">
        <w:rPr>
          <w:szCs w:val="24"/>
        </w:rPr>
        <w:t xml:space="preserve">If the organism to </w:t>
      </w:r>
      <w:proofErr w:type="gramStart"/>
      <w:r w:rsidR="00DA1B51" w:rsidRPr="00DA1B51">
        <w:rPr>
          <w:szCs w:val="24"/>
        </w:rPr>
        <w:t>be used</w:t>
      </w:r>
      <w:proofErr w:type="gramEnd"/>
      <w:r w:rsidR="00DA1B51" w:rsidRPr="00DA1B51">
        <w:rPr>
          <w:szCs w:val="24"/>
        </w:rPr>
        <w:t xml:space="preserve"> does not meet the</w:t>
      </w:r>
      <w:r w:rsidR="00DA1B51">
        <w:rPr>
          <w:szCs w:val="24"/>
        </w:rPr>
        <w:t xml:space="preserve"> GMO</w:t>
      </w:r>
      <w:r w:rsidR="00DA1B51" w:rsidRPr="00DA1B51">
        <w:rPr>
          <w:szCs w:val="24"/>
        </w:rPr>
        <w:t xml:space="preserve"> definition,</w:t>
      </w:r>
      <w:r w:rsidR="009E1221">
        <w:rPr>
          <w:szCs w:val="24"/>
        </w:rPr>
        <w:t xml:space="preserve"> or it</w:t>
      </w:r>
      <w:r w:rsidR="00DA1B51" w:rsidRPr="00DA1B51">
        <w:rPr>
          <w:szCs w:val="24"/>
        </w:rPr>
        <w:t xml:space="preserve"> is not </w:t>
      </w:r>
      <w:r w:rsidR="00D72F65">
        <w:rPr>
          <w:szCs w:val="24"/>
        </w:rPr>
        <w:t xml:space="preserve">able to </w:t>
      </w:r>
      <w:r w:rsidR="00DA1B51" w:rsidRPr="00DA1B51">
        <w:rPr>
          <w:szCs w:val="24"/>
        </w:rPr>
        <w:t>reproduc</w:t>
      </w:r>
      <w:r w:rsidR="00D72F65">
        <w:rPr>
          <w:szCs w:val="24"/>
        </w:rPr>
        <w:t>e</w:t>
      </w:r>
      <w:r w:rsidR="00DA1B51" w:rsidRPr="00DA1B51">
        <w:rPr>
          <w:szCs w:val="24"/>
        </w:rPr>
        <w:t xml:space="preserve"> or to transfer genetic material, the activity </w:t>
      </w:r>
      <w:r w:rsidR="00DA1B51">
        <w:rPr>
          <w:szCs w:val="24"/>
        </w:rPr>
        <w:t xml:space="preserve">does not fall under the scope of </w:t>
      </w:r>
      <w:r w:rsidR="00DA1B51" w:rsidRPr="00DA1B51">
        <w:rPr>
          <w:szCs w:val="24"/>
        </w:rPr>
        <w:t xml:space="preserve">the Gene </w:t>
      </w:r>
      <w:r w:rsidR="00D72F65">
        <w:rPr>
          <w:szCs w:val="24"/>
        </w:rPr>
        <w:t>T</w:t>
      </w:r>
      <w:r w:rsidR="00DA1B51" w:rsidRPr="00DA1B51">
        <w:rPr>
          <w:szCs w:val="24"/>
        </w:rPr>
        <w:t>echnology Act</w:t>
      </w:r>
      <w:r w:rsidR="00DA1B51">
        <w:rPr>
          <w:szCs w:val="24"/>
        </w:rPr>
        <w:t>.</w:t>
      </w:r>
    </w:p>
    <w:p w:rsidR="00C833C5" w:rsidRPr="00343268" w:rsidRDefault="00C833C5" w:rsidP="00DA1B51">
      <w:pPr>
        <w:spacing w:line="276" w:lineRule="auto"/>
        <w:ind w:left="720"/>
        <w:rPr>
          <w:szCs w:val="24"/>
        </w:rPr>
      </w:pPr>
    </w:p>
    <w:p w:rsidR="0004494D" w:rsidRPr="0004494D" w:rsidRDefault="00C833C5" w:rsidP="00966841">
      <w:pPr>
        <w:numPr>
          <w:ilvl w:val="0"/>
          <w:numId w:val="2"/>
        </w:numPr>
        <w:spacing w:line="276" w:lineRule="auto"/>
        <w:rPr>
          <w:szCs w:val="24"/>
        </w:rPr>
      </w:pPr>
      <w:r w:rsidRPr="0004494D">
        <w:rPr>
          <w:szCs w:val="24"/>
        </w:rPr>
        <w:t xml:space="preserve">The activities </w:t>
      </w:r>
      <w:proofErr w:type="gramStart"/>
      <w:r w:rsidRPr="0004494D">
        <w:rPr>
          <w:szCs w:val="24"/>
        </w:rPr>
        <w:t>can be considered</w:t>
      </w:r>
      <w:proofErr w:type="gramEnd"/>
      <w:r w:rsidRPr="0004494D">
        <w:rPr>
          <w:szCs w:val="24"/>
        </w:rPr>
        <w:t xml:space="preserve"> </w:t>
      </w:r>
      <w:r w:rsidR="00D72F65">
        <w:rPr>
          <w:szCs w:val="24"/>
        </w:rPr>
        <w:t>as</w:t>
      </w:r>
      <w:r w:rsidRPr="0004494D">
        <w:rPr>
          <w:szCs w:val="24"/>
        </w:rPr>
        <w:t xml:space="preserve"> </w:t>
      </w:r>
      <w:r w:rsidRPr="0004494D">
        <w:rPr>
          <w:b/>
          <w:szCs w:val="24"/>
        </w:rPr>
        <w:t>contained use</w:t>
      </w:r>
      <w:r w:rsidRPr="0004494D">
        <w:rPr>
          <w:szCs w:val="24"/>
        </w:rPr>
        <w:t xml:space="preserve"> if the properties </w:t>
      </w:r>
      <w:r w:rsidR="00DA1B51">
        <w:rPr>
          <w:szCs w:val="24"/>
        </w:rPr>
        <w:t xml:space="preserve">of the GMO </w:t>
      </w:r>
      <w:r w:rsidRPr="0004494D">
        <w:rPr>
          <w:szCs w:val="24"/>
        </w:rPr>
        <w:t xml:space="preserve">and </w:t>
      </w:r>
      <w:r w:rsidR="00DA1B51">
        <w:rPr>
          <w:szCs w:val="24"/>
        </w:rPr>
        <w:t xml:space="preserve">the </w:t>
      </w:r>
      <w:r w:rsidR="00D72F65">
        <w:rPr>
          <w:szCs w:val="24"/>
        </w:rPr>
        <w:t>type</w:t>
      </w:r>
      <w:r w:rsidR="00DA1B51">
        <w:rPr>
          <w:szCs w:val="24"/>
        </w:rPr>
        <w:t xml:space="preserve"> of </w:t>
      </w:r>
      <w:r w:rsidRPr="0004494D">
        <w:rPr>
          <w:szCs w:val="24"/>
        </w:rPr>
        <w:t xml:space="preserve">use </w:t>
      </w:r>
      <w:r w:rsidR="00D72F65">
        <w:rPr>
          <w:szCs w:val="24"/>
        </w:rPr>
        <w:t>ensure</w:t>
      </w:r>
      <w:r w:rsidRPr="0004494D">
        <w:rPr>
          <w:szCs w:val="24"/>
        </w:rPr>
        <w:t xml:space="preserve"> that </w:t>
      </w:r>
      <w:r w:rsidR="00966841">
        <w:rPr>
          <w:szCs w:val="24"/>
        </w:rPr>
        <w:t>there is no</w:t>
      </w:r>
      <w:r w:rsidRPr="0004494D">
        <w:rPr>
          <w:szCs w:val="24"/>
        </w:rPr>
        <w:t xml:space="preserve"> release of viable GMOs into the environment.</w:t>
      </w:r>
      <w:r w:rsidRPr="00343268">
        <w:rPr>
          <w:rStyle w:val="Alaviitteenviite"/>
          <w:szCs w:val="24"/>
        </w:rPr>
        <w:footnoteReference w:id="1"/>
      </w:r>
      <w:r w:rsidRPr="0004494D">
        <w:rPr>
          <w:szCs w:val="24"/>
        </w:rPr>
        <w:t xml:space="preserve"> In practice, the production and </w:t>
      </w:r>
      <w:r w:rsidR="0051778A" w:rsidRPr="0004494D">
        <w:rPr>
          <w:szCs w:val="24"/>
        </w:rPr>
        <w:t>dispensing</w:t>
      </w:r>
      <w:r w:rsidRPr="0004494D">
        <w:rPr>
          <w:szCs w:val="24"/>
        </w:rPr>
        <w:t xml:space="preserve"> of</w:t>
      </w:r>
      <w:r w:rsidR="00343268" w:rsidRPr="0004494D">
        <w:rPr>
          <w:szCs w:val="24"/>
        </w:rPr>
        <w:t xml:space="preserve"> </w:t>
      </w:r>
      <w:r w:rsidRPr="0004494D">
        <w:rPr>
          <w:szCs w:val="24"/>
        </w:rPr>
        <w:t xml:space="preserve">GMOs intended for therapeutic purposes is always contained use. </w:t>
      </w:r>
      <w:r w:rsidR="00966841">
        <w:rPr>
          <w:szCs w:val="24"/>
        </w:rPr>
        <w:t>During the clinical trial or when administrating the treatment</w:t>
      </w:r>
      <w:r w:rsidRPr="0004494D">
        <w:rPr>
          <w:szCs w:val="24"/>
        </w:rPr>
        <w:t xml:space="preserve"> </w:t>
      </w:r>
      <w:r w:rsidR="0004494D" w:rsidRPr="0004494D">
        <w:rPr>
          <w:szCs w:val="24"/>
        </w:rPr>
        <w:t xml:space="preserve">it is required </w:t>
      </w:r>
      <w:r w:rsidRPr="0004494D">
        <w:rPr>
          <w:szCs w:val="24"/>
        </w:rPr>
        <w:t>that</w:t>
      </w:r>
      <w:r w:rsidR="0004494D" w:rsidRPr="0004494D">
        <w:rPr>
          <w:szCs w:val="24"/>
        </w:rPr>
        <w:t>:</w:t>
      </w:r>
    </w:p>
    <w:p w:rsidR="0004494D" w:rsidRDefault="00C833C5" w:rsidP="00966841">
      <w:pPr>
        <w:numPr>
          <w:ilvl w:val="1"/>
          <w:numId w:val="2"/>
        </w:numPr>
        <w:spacing w:line="276" w:lineRule="auto"/>
        <w:rPr>
          <w:szCs w:val="24"/>
        </w:rPr>
      </w:pPr>
      <w:r w:rsidRPr="00343268">
        <w:rPr>
          <w:szCs w:val="24"/>
        </w:rPr>
        <w:lastRenderedPageBreak/>
        <w:t>the health care personnel are not exposed to infection when handling the GMO preparation</w:t>
      </w:r>
      <w:r w:rsidR="0004494D">
        <w:rPr>
          <w:szCs w:val="24"/>
        </w:rPr>
        <w:t>,</w:t>
      </w:r>
      <w:r w:rsidRPr="00343268">
        <w:rPr>
          <w:szCs w:val="24"/>
        </w:rPr>
        <w:t xml:space="preserve"> and</w:t>
      </w:r>
    </w:p>
    <w:p w:rsidR="00C833C5" w:rsidRPr="00343268" w:rsidRDefault="0004494D" w:rsidP="00966841">
      <w:pPr>
        <w:numPr>
          <w:ilvl w:val="1"/>
          <w:numId w:val="2"/>
        </w:numPr>
        <w:spacing w:line="276" w:lineRule="auto"/>
        <w:rPr>
          <w:szCs w:val="24"/>
        </w:rPr>
      </w:pPr>
      <w:proofErr w:type="gramStart"/>
      <w:r w:rsidRPr="00343268">
        <w:rPr>
          <w:szCs w:val="24"/>
        </w:rPr>
        <w:t>having</w:t>
      </w:r>
      <w:proofErr w:type="gramEnd"/>
      <w:r w:rsidRPr="00343268">
        <w:rPr>
          <w:szCs w:val="24"/>
        </w:rPr>
        <w:t xml:space="preserve"> left the contained </w:t>
      </w:r>
      <w:r>
        <w:rPr>
          <w:szCs w:val="24"/>
        </w:rPr>
        <w:t xml:space="preserve">premises, </w:t>
      </w:r>
      <w:r w:rsidR="00C833C5" w:rsidRPr="00343268">
        <w:rPr>
          <w:szCs w:val="24"/>
        </w:rPr>
        <w:t xml:space="preserve">the </w:t>
      </w:r>
      <w:r w:rsidR="00184F65">
        <w:rPr>
          <w:szCs w:val="24"/>
        </w:rPr>
        <w:t>human or animal subjects</w:t>
      </w:r>
      <w:r>
        <w:rPr>
          <w:szCs w:val="24"/>
        </w:rPr>
        <w:t xml:space="preserve"> which have </w:t>
      </w:r>
      <w:r w:rsidR="00C833C5" w:rsidRPr="00343268">
        <w:rPr>
          <w:szCs w:val="24"/>
        </w:rPr>
        <w:t xml:space="preserve"> receiv</w:t>
      </w:r>
      <w:r>
        <w:rPr>
          <w:szCs w:val="24"/>
        </w:rPr>
        <w:t>ed</w:t>
      </w:r>
      <w:r w:rsidR="00C833C5" w:rsidRPr="00343268">
        <w:rPr>
          <w:szCs w:val="24"/>
        </w:rPr>
        <w:t xml:space="preserve"> the preparation are (no longer) able to </w:t>
      </w:r>
      <w:r>
        <w:rPr>
          <w:szCs w:val="24"/>
        </w:rPr>
        <w:t>shed</w:t>
      </w:r>
      <w:r w:rsidR="00C833C5" w:rsidRPr="00343268">
        <w:rPr>
          <w:szCs w:val="24"/>
        </w:rPr>
        <w:t xml:space="preserve"> GMOs </w:t>
      </w:r>
      <w:r>
        <w:rPr>
          <w:szCs w:val="24"/>
        </w:rPr>
        <w:t xml:space="preserve">which </w:t>
      </w:r>
      <w:r w:rsidR="00C833C5" w:rsidRPr="00343268">
        <w:rPr>
          <w:szCs w:val="24"/>
        </w:rPr>
        <w:t>are capable of replication and/or infecti</w:t>
      </w:r>
      <w:r>
        <w:rPr>
          <w:szCs w:val="24"/>
        </w:rPr>
        <w:t>ous</w:t>
      </w:r>
      <w:r w:rsidR="00C833C5" w:rsidRPr="00343268">
        <w:rPr>
          <w:szCs w:val="24"/>
        </w:rPr>
        <w:t>.</w:t>
      </w:r>
    </w:p>
    <w:p w:rsidR="00C833C5" w:rsidRPr="00343268" w:rsidRDefault="00C833C5" w:rsidP="00966841">
      <w:pPr>
        <w:pStyle w:val="Luettelokappale"/>
        <w:spacing w:line="276" w:lineRule="auto"/>
        <w:rPr>
          <w:szCs w:val="24"/>
        </w:rPr>
      </w:pPr>
    </w:p>
    <w:p w:rsidR="00C833C5" w:rsidRPr="00343268" w:rsidRDefault="00216597" w:rsidP="00966841">
      <w:pPr>
        <w:numPr>
          <w:ilvl w:val="0"/>
          <w:numId w:val="2"/>
        </w:numPr>
        <w:spacing w:line="276" w:lineRule="auto"/>
        <w:rPr>
          <w:szCs w:val="24"/>
        </w:rPr>
      </w:pPr>
      <w:r>
        <w:rPr>
          <w:szCs w:val="24"/>
        </w:rPr>
        <w:t>If the risk assessment cannot exclude the possibility of reproductive/infectious GMO</w:t>
      </w:r>
      <w:r w:rsidR="00D72F65">
        <w:rPr>
          <w:szCs w:val="24"/>
        </w:rPr>
        <w:t>s</w:t>
      </w:r>
      <w:r>
        <w:rPr>
          <w:szCs w:val="24"/>
        </w:rPr>
        <w:t xml:space="preserve"> being released into the environment</w:t>
      </w:r>
      <w:r w:rsidR="00C833C5" w:rsidRPr="00343268">
        <w:rPr>
          <w:szCs w:val="24"/>
        </w:rPr>
        <w:t xml:space="preserve">, </w:t>
      </w:r>
      <w:r w:rsidR="002A3C23">
        <w:rPr>
          <w:szCs w:val="24"/>
        </w:rPr>
        <w:t>the</w:t>
      </w:r>
      <w:r w:rsidR="003F50B7">
        <w:rPr>
          <w:szCs w:val="24"/>
        </w:rPr>
        <w:t xml:space="preserve"> clinical trial is considered </w:t>
      </w:r>
      <w:proofErr w:type="gramStart"/>
      <w:r w:rsidR="003F50B7">
        <w:rPr>
          <w:szCs w:val="24"/>
        </w:rPr>
        <w:t xml:space="preserve">to be </w:t>
      </w:r>
      <w:r w:rsidR="00C833C5" w:rsidRPr="00A8015A">
        <w:rPr>
          <w:b/>
          <w:szCs w:val="24"/>
        </w:rPr>
        <w:t>deliberate</w:t>
      </w:r>
      <w:proofErr w:type="gramEnd"/>
      <w:r w:rsidR="00C833C5" w:rsidRPr="00A8015A">
        <w:rPr>
          <w:b/>
          <w:szCs w:val="24"/>
        </w:rPr>
        <w:t xml:space="preserve"> release</w:t>
      </w:r>
      <w:r w:rsidR="00C833C5" w:rsidRPr="00343268">
        <w:rPr>
          <w:szCs w:val="24"/>
        </w:rPr>
        <w:t>.</w:t>
      </w:r>
    </w:p>
    <w:p w:rsidR="00C833C5" w:rsidRPr="00343268" w:rsidRDefault="00C833C5" w:rsidP="00966841">
      <w:pPr>
        <w:spacing w:line="276" w:lineRule="auto"/>
        <w:rPr>
          <w:szCs w:val="24"/>
        </w:rPr>
      </w:pPr>
    </w:p>
    <w:p w:rsidR="003F50B7" w:rsidRDefault="003F50B7" w:rsidP="00966841">
      <w:pPr>
        <w:spacing w:line="276" w:lineRule="auto"/>
        <w:rPr>
          <w:szCs w:val="24"/>
        </w:rPr>
      </w:pPr>
      <w:r>
        <w:rPr>
          <w:szCs w:val="24"/>
        </w:rPr>
        <w:t xml:space="preserve">We recommend that any </w:t>
      </w:r>
      <w:r w:rsidR="00C833C5" w:rsidRPr="002A3C23">
        <w:rPr>
          <w:szCs w:val="24"/>
        </w:rPr>
        <w:t xml:space="preserve">operator planning a trial with a GM medicinal product </w:t>
      </w:r>
      <w:r w:rsidR="00C833C5" w:rsidRPr="00EC35AD">
        <w:rPr>
          <w:szCs w:val="24"/>
        </w:rPr>
        <w:t>should</w:t>
      </w:r>
      <w:r w:rsidR="00C833C5" w:rsidRPr="002A3C23">
        <w:rPr>
          <w:szCs w:val="24"/>
        </w:rPr>
        <w:t xml:space="preserve"> contact the secretariat of GTLK </w:t>
      </w:r>
      <w:r>
        <w:rPr>
          <w:szCs w:val="24"/>
        </w:rPr>
        <w:t>before</w:t>
      </w:r>
      <w:r w:rsidR="00C833C5" w:rsidRPr="002A3C23">
        <w:rPr>
          <w:szCs w:val="24"/>
        </w:rPr>
        <w:t xml:space="preserve"> </w:t>
      </w:r>
      <w:r w:rsidR="00C833C5" w:rsidRPr="00EC35AD">
        <w:rPr>
          <w:szCs w:val="24"/>
        </w:rPr>
        <w:t>preparing</w:t>
      </w:r>
      <w:r>
        <w:rPr>
          <w:szCs w:val="24"/>
        </w:rPr>
        <w:t xml:space="preserve"> their </w:t>
      </w:r>
      <w:r w:rsidR="00C833C5" w:rsidRPr="002A3C23">
        <w:rPr>
          <w:szCs w:val="24"/>
        </w:rPr>
        <w:t xml:space="preserve">notification/application </w:t>
      </w:r>
      <w:r w:rsidR="00BD4357" w:rsidRPr="002A3C23">
        <w:rPr>
          <w:szCs w:val="24"/>
        </w:rPr>
        <w:t xml:space="preserve">in </w:t>
      </w:r>
      <w:r>
        <w:rPr>
          <w:szCs w:val="24"/>
        </w:rPr>
        <w:t>order to determine the correct procedure</w:t>
      </w:r>
      <w:r w:rsidR="00C833C5" w:rsidRPr="002A3C23">
        <w:rPr>
          <w:szCs w:val="24"/>
        </w:rPr>
        <w:t>.</w:t>
      </w:r>
    </w:p>
    <w:p w:rsidR="003F50B7" w:rsidRDefault="003F50B7" w:rsidP="00966841">
      <w:pPr>
        <w:spacing w:line="276" w:lineRule="auto"/>
        <w:rPr>
          <w:szCs w:val="24"/>
        </w:rPr>
      </w:pPr>
    </w:p>
    <w:p w:rsidR="007D7E7B" w:rsidRDefault="00C833C5" w:rsidP="00966841">
      <w:pPr>
        <w:spacing w:line="276" w:lineRule="auto"/>
        <w:rPr>
          <w:szCs w:val="24"/>
        </w:rPr>
      </w:pPr>
      <w:r w:rsidRPr="00EC35AD">
        <w:rPr>
          <w:szCs w:val="24"/>
        </w:rPr>
        <w:t xml:space="preserve">If the activities take place in </w:t>
      </w:r>
      <w:r w:rsidR="00BD4357" w:rsidRPr="00EC35AD">
        <w:rPr>
          <w:szCs w:val="24"/>
        </w:rPr>
        <w:t>several</w:t>
      </w:r>
      <w:r w:rsidRPr="00EC35AD">
        <w:rPr>
          <w:szCs w:val="24"/>
        </w:rPr>
        <w:t xml:space="preserve"> </w:t>
      </w:r>
      <w:r w:rsidR="002A3C23" w:rsidRPr="00EC35AD">
        <w:rPr>
          <w:szCs w:val="24"/>
        </w:rPr>
        <w:t>premises</w:t>
      </w:r>
      <w:r w:rsidR="00D72F65">
        <w:rPr>
          <w:szCs w:val="24"/>
        </w:rPr>
        <w:t>,</w:t>
      </w:r>
      <w:r w:rsidRPr="00EC35AD">
        <w:rPr>
          <w:szCs w:val="24"/>
        </w:rPr>
        <w:t xml:space="preserve"> it </w:t>
      </w:r>
      <w:proofErr w:type="gramStart"/>
      <w:r w:rsidRPr="00EC35AD">
        <w:rPr>
          <w:szCs w:val="24"/>
        </w:rPr>
        <w:t>must be considered</w:t>
      </w:r>
      <w:proofErr w:type="gramEnd"/>
      <w:r w:rsidRPr="00EC35AD">
        <w:rPr>
          <w:szCs w:val="24"/>
        </w:rPr>
        <w:t xml:space="preserve"> case-by-case, whether all activities can be included in a single notification/application or whether </w:t>
      </w:r>
      <w:r w:rsidR="00D72F65" w:rsidRPr="00EC35AD">
        <w:rPr>
          <w:szCs w:val="24"/>
        </w:rPr>
        <w:t xml:space="preserve">each </w:t>
      </w:r>
      <w:r w:rsidR="00D72F65">
        <w:rPr>
          <w:szCs w:val="24"/>
        </w:rPr>
        <w:t xml:space="preserve">participating </w:t>
      </w:r>
      <w:r w:rsidR="00D72F65" w:rsidRPr="00EC35AD">
        <w:rPr>
          <w:szCs w:val="24"/>
        </w:rPr>
        <w:t xml:space="preserve">unit </w:t>
      </w:r>
      <w:r w:rsidR="00D72F65">
        <w:rPr>
          <w:szCs w:val="24"/>
        </w:rPr>
        <w:t xml:space="preserve">should submit </w:t>
      </w:r>
      <w:r w:rsidRPr="00EC35AD">
        <w:rPr>
          <w:szCs w:val="24"/>
        </w:rPr>
        <w:t>a separate notification.</w:t>
      </w:r>
    </w:p>
    <w:p w:rsidR="007D7E7B" w:rsidRDefault="007D7E7B" w:rsidP="00966841">
      <w:pPr>
        <w:spacing w:line="276" w:lineRule="auto"/>
        <w:rPr>
          <w:szCs w:val="24"/>
        </w:rPr>
      </w:pPr>
    </w:p>
    <w:p w:rsidR="00C833C5" w:rsidRPr="00343268" w:rsidRDefault="00C833C5" w:rsidP="00966841">
      <w:pPr>
        <w:spacing w:line="276" w:lineRule="auto"/>
        <w:rPr>
          <w:szCs w:val="24"/>
        </w:rPr>
      </w:pPr>
      <w:r w:rsidRPr="00343268">
        <w:rPr>
          <w:szCs w:val="24"/>
        </w:rPr>
        <w:t xml:space="preserve">Clinical trials often involve actors </w:t>
      </w:r>
      <w:r w:rsidR="00AA11E7">
        <w:rPr>
          <w:szCs w:val="24"/>
        </w:rPr>
        <w:t>at</w:t>
      </w:r>
      <w:r w:rsidRPr="00343268">
        <w:rPr>
          <w:szCs w:val="24"/>
        </w:rPr>
        <w:t xml:space="preserve"> </w:t>
      </w:r>
      <w:r w:rsidR="007D7E7B">
        <w:rPr>
          <w:szCs w:val="24"/>
        </w:rPr>
        <w:t xml:space="preserve">different levels, </w:t>
      </w:r>
      <w:r w:rsidR="00AA11E7">
        <w:rPr>
          <w:szCs w:val="24"/>
        </w:rPr>
        <w:t xml:space="preserve">which means that </w:t>
      </w:r>
      <w:r w:rsidRPr="00343268">
        <w:rPr>
          <w:szCs w:val="24"/>
        </w:rPr>
        <w:t xml:space="preserve">it </w:t>
      </w:r>
      <w:r w:rsidR="00AA11E7">
        <w:rPr>
          <w:szCs w:val="24"/>
        </w:rPr>
        <w:t>m</w:t>
      </w:r>
      <w:r w:rsidRPr="00343268">
        <w:rPr>
          <w:szCs w:val="24"/>
        </w:rPr>
        <w:t xml:space="preserve">ust </w:t>
      </w:r>
      <w:r w:rsidR="00AA11E7">
        <w:rPr>
          <w:szCs w:val="24"/>
        </w:rPr>
        <w:t xml:space="preserve">be considered </w:t>
      </w:r>
      <w:r w:rsidR="00BD4357">
        <w:rPr>
          <w:szCs w:val="24"/>
        </w:rPr>
        <w:t>wh</w:t>
      </w:r>
      <w:r w:rsidR="002A3C23">
        <w:rPr>
          <w:szCs w:val="24"/>
        </w:rPr>
        <w:t>ich</w:t>
      </w:r>
      <w:r w:rsidR="007D7E7B">
        <w:rPr>
          <w:szCs w:val="24"/>
        </w:rPr>
        <w:t xml:space="preserve"> of them</w:t>
      </w:r>
      <w:r w:rsidR="00BD4357">
        <w:rPr>
          <w:szCs w:val="24"/>
        </w:rPr>
        <w:t xml:space="preserve"> </w:t>
      </w:r>
      <w:proofErr w:type="gramStart"/>
      <w:r w:rsidRPr="00343268">
        <w:rPr>
          <w:szCs w:val="24"/>
        </w:rPr>
        <w:t>is the</w:t>
      </w:r>
      <w:r w:rsidR="00BD4357">
        <w:rPr>
          <w:szCs w:val="24"/>
        </w:rPr>
        <w:t xml:space="preserve"> designated</w:t>
      </w:r>
      <w:r w:rsidR="007D7E7B">
        <w:rPr>
          <w:szCs w:val="24"/>
        </w:rPr>
        <w:t xml:space="preserve"> operator for</w:t>
      </w:r>
      <w:r w:rsidRPr="00343268">
        <w:rPr>
          <w:szCs w:val="24"/>
        </w:rPr>
        <w:t xml:space="preserve"> the notification</w:t>
      </w:r>
      <w:r w:rsidR="00BD4357">
        <w:rPr>
          <w:szCs w:val="24"/>
        </w:rPr>
        <w:t>/</w:t>
      </w:r>
      <w:r w:rsidRPr="00343268">
        <w:rPr>
          <w:szCs w:val="24"/>
        </w:rPr>
        <w:t>application</w:t>
      </w:r>
      <w:proofErr w:type="gramEnd"/>
      <w:r w:rsidRPr="00343268">
        <w:rPr>
          <w:szCs w:val="24"/>
        </w:rPr>
        <w:t>.</w:t>
      </w:r>
      <w:r w:rsidR="00343268">
        <w:rPr>
          <w:szCs w:val="24"/>
        </w:rPr>
        <w:t xml:space="preserve"> </w:t>
      </w:r>
      <w:r w:rsidRPr="00343268">
        <w:rPr>
          <w:szCs w:val="24"/>
        </w:rPr>
        <w:t>We r</w:t>
      </w:r>
      <w:r w:rsidR="007D7E7B">
        <w:rPr>
          <w:szCs w:val="24"/>
        </w:rPr>
        <w:t xml:space="preserve">ecommend that the party </w:t>
      </w:r>
      <w:r w:rsidRPr="00343268">
        <w:rPr>
          <w:szCs w:val="24"/>
        </w:rPr>
        <w:t xml:space="preserve">best placed to meet the obligations laid down in chapter 3 of the Gene Technology Act </w:t>
      </w:r>
      <w:proofErr w:type="gramStart"/>
      <w:r w:rsidRPr="00343268">
        <w:rPr>
          <w:szCs w:val="24"/>
        </w:rPr>
        <w:t>should be selected</w:t>
      </w:r>
      <w:proofErr w:type="gramEnd"/>
      <w:r w:rsidRPr="00343268">
        <w:rPr>
          <w:szCs w:val="24"/>
        </w:rPr>
        <w:t>.</w:t>
      </w:r>
      <w:r w:rsidR="00A8015A">
        <w:rPr>
          <w:szCs w:val="24"/>
        </w:rPr>
        <w:t xml:space="preserve"> </w:t>
      </w:r>
      <w:r w:rsidR="00A8015A" w:rsidRPr="00A8015A">
        <w:rPr>
          <w:szCs w:val="24"/>
          <w:lang w:val="en-US"/>
        </w:rPr>
        <w:t>In most cases</w:t>
      </w:r>
      <w:r w:rsidR="00EA6D23">
        <w:rPr>
          <w:szCs w:val="24"/>
          <w:lang w:val="en-US"/>
        </w:rPr>
        <w:t>,</w:t>
      </w:r>
      <w:r w:rsidR="00A8015A" w:rsidRPr="00A8015A">
        <w:rPr>
          <w:szCs w:val="24"/>
          <w:lang w:val="en-US"/>
        </w:rPr>
        <w:t xml:space="preserve"> the designated operator is the company, research institute or hospital that </w:t>
      </w:r>
      <w:r w:rsidR="00841C37">
        <w:rPr>
          <w:szCs w:val="24"/>
          <w:lang w:val="en-US"/>
        </w:rPr>
        <w:t xml:space="preserve">actually </w:t>
      </w:r>
      <w:r w:rsidR="00A8015A">
        <w:rPr>
          <w:szCs w:val="24"/>
          <w:lang w:val="en-US"/>
        </w:rPr>
        <w:t>carries out the trial</w:t>
      </w:r>
      <w:r w:rsidR="00A8015A" w:rsidRPr="00A8015A">
        <w:rPr>
          <w:szCs w:val="24"/>
          <w:lang w:val="en-US"/>
        </w:rPr>
        <w:t>.</w:t>
      </w:r>
      <w:r w:rsidR="00343268" w:rsidRPr="00A8015A">
        <w:rPr>
          <w:szCs w:val="24"/>
          <w:lang w:val="en-US"/>
        </w:rPr>
        <w:t xml:space="preserve"> </w:t>
      </w:r>
      <w:r w:rsidR="00AA11E7" w:rsidRPr="00AA11E7">
        <w:rPr>
          <w:szCs w:val="24"/>
        </w:rPr>
        <w:t>Those appointed as responsible persons should be in a contractual relationship with the party designated as the operator.</w:t>
      </w:r>
    </w:p>
    <w:p w:rsidR="00C833C5" w:rsidRPr="00343268" w:rsidRDefault="00C833C5" w:rsidP="00966841">
      <w:pPr>
        <w:spacing w:line="276" w:lineRule="auto"/>
        <w:rPr>
          <w:szCs w:val="24"/>
        </w:rPr>
      </w:pPr>
    </w:p>
    <w:p w:rsidR="00C833C5" w:rsidRDefault="00841C37" w:rsidP="00966841">
      <w:pPr>
        <w:spacing w:line="276" w:lineRule="auto"/>
        <w:rPr>
          <w:szCs w:val="24"/>
        </w:rPr>
      </w:pPr>
      <w:r>
        <w:rPr>
          <w:szCs w:val="24"/>
        </w:rPr>
        <w:t>When processing the notifications and applications</w:t>
      </w:r>
      <w:r w:rsidR="001020F1">
        <w:rPr>
          <w:szCs w:val="24"/>
        </w:rPr>
        <w:t>,</w:t>
      </w:r>
      <w:r>
        <w:rPr>
          <w:szCs w:val="24"/>
        </w:rPr>
        <w:t xml:space="preserve"> </w:t>
      </w:r>
      <w:r w:rsidR="00274B7D">
        <w:rPr>
          <w:szCs w:val="24"/>
        </w:rPr>
        <w:t>GTLK</w:t>
      </w:r>
      <w:r w:rsidR="00C833C5" w:rsidRPr="00343268">
        <w:rPr>
          <w:szCs w:val="24"/>
        </w:rPr>
        <w:t xml:space="preserve"> focuses on the risks </w:t>
      </w:r>
      <w:r>
        <w:rPr>
          <w:szCs w:val="24"/>
        </w:rPr>
        <w:t>t</w:t>
      </w:r>
      <w:r w:rsidR="001B025D">
        <w:rPr>
          <w:szCs w:val="24"/>
        </w:rPr>
        <w:t>hat the activit</w:t>
      </w:r>
      <w:r w:rsidR="001020F1">
        <w:rPr>
          <w:szCs w:val="24"/>
        </w:rPr>
        <w:t>ies</w:t>
      </w:r>
      <w:r w:rsidR="00C833C5" w:rsidRPr="00343268">
        <w:rPr>
          <w:szCs w:val="24"/>
        </w:rPr>
        <w:t xml:space="preserve"> may </w:t>
      </w:r>
      <w:r w:rsidR="001020F1">
        <w:rPr>
          <w:szCs w:val="24"/>
        </w:rPr>
        <w:t>pose</w:t>
      </w:r>
      <w:r w:rsidR="00C833C5" w:rsidRPr="00343268">
        <w:rPr>
          <w:szCs w:val="24"/>
        </w:rPr>
        <w:t xml:space="preserve"> to the environment and </w:t>
      </w:r>
      <w:r w:rsidR="001020F1" w:rsidRPr="001020F1">
        <w:rPr>
          <w:szCs w:val="24"/>
        </w:rPr>
        <w:t>third parties.</w:t>
      </w:r>
      <w:r>
        <w:rPr>
          <w:szCs w:val="24"/>
        </w:rPr>
        <w:t xml:space="preserve"> </w:t>
      </w:r>
      <w:r w:rsidR="00B70802">
        <w:rPr>
          <w:szCs w:val="24"/>
        </w:rPr>
        <w:t xml:space="preserve">In other words, </w:t>
      </w:r>
      <w:r>
        <w:rPr>
          <w:szCs w:val="24"/>
        </w:rPr>
        <w:t>the Board assesses</w:t>
      </w:r>
      <w:r w:rsidR="001B025D">
        <w:rPr>
          <w:szCs w:val="24"/>
        </w:rPr>
        <w:t xml:space="preserve"> potential</w:t>
      </w:r>
      <w:r>
        <w:rPr>
          <w:szCs w:val="24"/>
        </w:rPr>
        <w:t xml:space="preserve"> </w:t>
      </w:r>
      <w:r w:rsidR="00CF38AC">
        <w:rPr>
          <w:szCs w:val="24"/>
        </w:rPr>
        <w:t xml:space="preserve">unintended </w:t>
      </w:r>
      <w:r w:rsidR="00C833C5" w:rsidRPr="00343268">
        <w:rPr>
          <w:szCs w:val="24"/>
        </w:rPr>
        <w:t>release of GM</w:t>
      </w:r>
      <w:r>
        <w:rPr>
          <w:szCs w:val="24"/>
        </w:rPr>
        <w:t xml:space="preserve">Os into the environment and </w:t>
      </w:r>
      <w:r w:rsidR="00C833C5" w:rsidRPr="00343268">
        <w:rPr>
          <w:szCs w:val="24"/>
        </w:rPr>
        <w:t xml:space="preserve">risks affecting </w:t>
      </w:r>
      <w:r>
        <w:rPr>
          <w:szCs w:val="24"/>
        </w:rPr>
        <w:t>personnel and other people</w:t>
      </w:r>
      <w:r w:rsidR="00C833C5" w:rsidRPr="00343268">
        <w:rPr>
          <w:szCs w:val="24"/>
        </w:rPr>
        <w:t xml:space="preserve"> or animals.</w:t>
      </w:r>
      <w:r w:rsidR="00343268">
        <w:rPr>
          <w:szCs w:val="24"/>
        </w:rPr>
        <w:t xml:space="preserve"> </w:t>
      </w:r>
      <w:r>
        <w:rPr>
          <w:szCs w:val="24"/>
        </w:rPr>
        <w:t>T</w:t>
      </w:r>
      <w:r w:rsidR="00C833C5" w:rsidRPr="00343268">
        <w:rPr>
          <w:szCs w:val="24"/>
        </w:rPr>
        <w:t xml:space="preserve">he potential adverse effects </w:t>
      </w:r>
      <w:r w:rsidR="00B70802">
        <w:rPr>
          <w:szCs w:val="24"/>
        </w:rPr>
        <w:t xml:space="preserve">of the preparation to be used </w:t>
      </w:r>
      <w:r w:rsidR="00C833C5" w:rsidRPr="00343268">
        <w:rPr>
          <w:szCs w:val="24"/>
        </w:rPr>
        <w:t xml:space="preserve">on </w:t>
      </w:r>
      <w:r w:rsidR="00CF38AC">
        <w:rPr>
          <w:szCs w:val="24"/>
        </w:rPr>
        <w:t xml:space="preserve">human or </w:t>
      </w:r>
      <w:r w:rsidR="00C833C5" w:rsidRPr="00343268">
        <w:rPr>
          <w:szCs w:val="24"/>
        </w:rPr>
        <w:t>animal</w:t>
      </w:r>
      <w:r w:rsidR="00CF38AC">
        <w:rPr>
          <w:szCs w:val="24"/>
        </w:rPr>
        <w:t xml:space="preserve"> subjects</w:t>
      </w:r>
      <w:r w:rsidR="00C833C5" w:rsidRPr="00343268">
        <w:rPr>
          <w:szCs w:val="24"/>
        </w:rPr>
        <w:t xml:space="preserve"> or the assessment of the effectiveness of the preparation fall outside the purview of the Board</w:t>
      </w:r>
      <w:r w:rsidR="00B70802">
        <w:rPr>
          <w:szCs w:val="24"/>
        </w:rPr>
        <w:t xml:space="preserve">; instead </w:t>
      </w:r>
      <w:proofErr w:type="gramStart"/>
      <w:r w:rsidR="00B70802">
        <w:rPr>
          <w:szCs w:val="24"/>
        </w:rPr>
        <w:t xml:space="preserve">they </w:t>
      </w:r>
      <w:r>
        <w:rPr>
          <w:szCs w:val="24"/>
        </w:rPr>
        <w:t xml:space="preserve">are </w:t>
      </w:r>
      <w:r w:rsidR="00B70802">
        <w:rPr>
          <w:szCs w:val="24"/>
        </w:rPr>
        <w:t>assessed</w:t>
      </w:r>
      <w:r>
        <w:rPr>
          <w:szCs w:val="24"/>
        </w:rPr>
        <w:t xml:space="preserve"> by other authorities</w:t>
      </w:r>
      <w:r w:rsidR="001B025D">
        <w:rPr>
          <w:szCs w:val="24"/>
        </w:rPr>
        <w:t xml:space="preserve"> and ethical </w:t>
      </w:r>
      <w:r w:rsidR="00B70802">
        <w:rPr>
          <w:szCs w:val="24"/>
        </w:rPr>
        <w:t>committees</w:t>
      </w:r>
      <w:r>
        <w:rPr>
          <w:szCs w:val="24"/>
        </w:rPr>
        <w:t xml:space="preserve"> in their </w:t>
      </w:r>
      <w:r w:rsidR="00B70802">
        <w:rPr>
          <w:szCs w:val="24"/>
        </w:rPr>
        <w:t xml:space="preserve">own </w:t>
      </w:r>
      <w:r>
        <w:rPr>
          <w:szCs w:val="24"/>
        </w:rPr>
        <w:t>authorisation procedures</w:t>
      </w:r>
      <w:proofErr w:type="gramEnd"/>
      <w:r w:rsidR="00C833C5" w:rsidRPr="00343268">
        <w:rPr>
          <w:szCs w:val="24"/>
        </w:rPr>
        <w:t xml:space="preserve">. </w:t>
      </w:r>
      <w:r w:rsidR="001B025D">
        <w:rPr>
          <w:szCs w:val="24"/>
        </w:rPr>
        <w:t>Therefore, t</w:t>
      </w:r>
      <w:r w:rsidR="00C833C5" w:rsidRPr="00343268">
        <w:rPr>
          <w:szCs w:val="24"/>
        </w:rPr>
        <w:t>he operator should refrain from submitting</w:t>
      </w:r>
      <w:r w:rsidR="001B025D">
        <w:rPr>
          <w:szCs w:val="24"/>
        </w:rPr>
        <w:t xml:space="preserve"> to the Board</w:t>
      </w:r>
      <w:r w:rsidR="00C833C5" w:rsidRPr="00343268">
        <w:rPr>
          <w:szCs w:val="24"/>
        </w:rPr>
        <w:t xml:space="preserve"> unnecessarily extensive</w:t>
      </w:r>
      <w:r w:rsidR="001B025D">
        <w:rPr>
          <w:szCs w:val="24"/>
        </w:rPr>
        <w:t xml:space="preserve"> or detailed documents regarding </w:t>
      </w:r>
      <w:r w:rsidR="00C833C5" w:rsidRPr="00343268">
        <w:rPr>
          <w:szCs w:val="24"/>
        </w:rPr>
        <w:t>the medical aspects of the trial.</w:t>
      </w:r>
      <w:r w:rsidR="00343268">
        <w:rPr>
          <w:szCs w:val="24"/>
        </w:rPr>
        <w:t xml:space="preserve"> </w:t>
      </w:r>
    </w:p>
    <w:p w:rsidR="00C833C5" w:rsidRPr="00B44A14" w:rsidRDefault="00C833C5" w:rsidP="001B025D">
      <w:pPr>
        <w:pStyle w:val="Otsikko2"/>
        <w:rPr>
          <w:rFonts w:eastAsia="Times New Roman" w:cs="Times New Roman"/>
          <w:lang w:val="en-US" w:eastAsia="fi-FI"/>
        </w:rPr>
      </w:pPr>
      <w:r w:rsidRPr="00B44A14">
        <w:rPr>
          <w:rFonts w:eastAsia="Times New Roman" w:cs="Times New Roman"/>
          <w:lang w:val="en-US" w:eastAsia="fi-FI"/>
        </w:rPr>
        <w:t>Contained use</w:t>
      </w:r>
    </w:p>
    <w:p w:rsidR="00C833C5" w:rsidRDefault="00C833C5" w:rsidP="000F5487">
      <w:pPr>
        <w:spacing w:line="276" w:lineRule="auto"/>
        <w:rPr>
          <w:szCs w:val="24"/>
        </w:rPr>
      </w:pPr>
      <w:r w:rsidRPr="002A3C23">
        <w:rPr>
          <w:szCs w:val="24"/>
        </w:rPr>
        <w:t xml:space="preserve">The notification procedure </w:t>
      </w:r>
      <w:r w:rsidR="00B44A14">
        <w:rPr>
          <w:szCs w:val="24"/>
        </w:rPr>
        <w:t>for</w:t>
      </w:r>
      <w:r w:rsidRPr="002A3C23">
        <w:rPr>
          <w:szCs w:val="24"/>
        </w:rPr>
        <w:t xml:space="preserve"> contained use depends on the classificatio</w:t>
      </w:r>
      <w:r w:rsidR="00B44A14">
        <w:rPr>
          <w:szCs w:val="24"/>
        </w:rPr>
        <w:t xml:space="preserve">n of use </w:t>
      </w:r>
      <w:r w:rsidR="00B70802">
        <w:rPr>
          <w:szCs w:val="24"/>
        </w:rPr>
        <w:t>based on</w:t>
      </w:r>
      <w:r w:rsidR="00B44A14">
        <w:rPr>
          <w:szCs w:val="24"/>
        </w:rPr>
        <w:t xml:space="preserve"> </w:t>
      </w:r>
      <w:r w:rsidR="00B70802">
        <w:rPr>
          <w:szCs w:val="24"/>
        </w:rPr>
        <w:t xml:space="preserve">a </w:t>
      </w:r>
      <w:r w:rsidRPr="002A3C23">
        <w:rPr>
          <w:szCs w:val="24"/>
        </w:rPr>
        <w:t xml:space="preserve">risk assessment (classes 1-4). The </w:t>
      </w:r>
      <w:r w:rsidR="00CF38AC" w:rsidRPr="002A3C23">
        <w:rPr>
          <w:szCs w:val="24"/>
        </w:rPr>
        <w:t xml:space="preserve">contained use </w:t>
      </w:r>
      <w:r w:rsidRPr="002A3C23">
        <w:rPr>
          <w:szCs w:val="24"/>
        </w:rPr>
        <w:t>n</w:t>
      </w:r>
      <w:r w:rsidR="00B44A14">
        <w:rPr>
          <w:szCs w:val="24"/>
        </w:rPr>
        <w:t xml:space="preserve">otification must cover all </w:t>
      </w:r>
      <w:r w:rsidR="00C80BBA">
        <w:rPr>
          <w:szCs w:val="24"/>
        </w:rPr>
        <w:t>phases</w:t>
      </w:r>
      <w:r w:rsidRPr="002A3C23">
        <w:rPr>
          <w:szCs w:val="24"/>
        </w:rPr>
        <w:t xml:space="preserve"> of the GMO activities taking place in the units listed in the notification and all </w:t>
      </w:r>
      <w:r w:rsidR="00CF38AC" w:rsidRPr="002A3C23">
        <w:rPr>
          <w:szCs w:val="24"/>
        </w:rPr>
        <w:t>premises</w:t>
      </w:r>
      <w:r w:rsidRPr="002A3C23">
        <w:rPr>
          <w:szCs w:val="24"/>
        </w:rPr>
        <w:t xml:space="preserve"> where GMOs </w:t>
      </w:r>
      <w:proofErr w:type="gramStart"/>
      <w:r w:rsidRPr="002A3C23">
        <w:rPr>
          <w:szCs w:val="24"/>
        </w:rPr>
        <w:t>are handled</w:t>
      </w:r>
      <w:proofErr w:type="gramEnd"/>
      <w:r w:rsidRPr="002A3C23">
        <w:rPr>
          <w:szCs w:val="24"/>
        </w:rPr>
        <w:t xml:space="preserve">. In other words, the notification must describe the possible production or storage of the </w:t>
      </w:r>
      <w:r w:rsidR="00C80BBA">
        <w:rPr>
          <w:szCs w:val="24"/>
        </w:rPr>
        <w:t xml:space="preserve">medicinal product containing </w:t>
      </w:r>
      <w:r w:rsidRPr="002A3C23">
        <w:rPr>
          <w:szCs w:val="24"/>
        </w:rPr>
        <w:t xml:space="preserve">GMOs, </w:t>
      </w:r>
      <w:r w:rsidR="00C80BBA" w:rsidRPr="00C80BBA">
        <w:rPr>
          <w:szCs w:val="24"/>
        </w:rPr>
        <w:t>its preparation for use</w:t>
      </w:r>
      <w:r w:rsidR="00F94DA5">
        <w:rPr>
          <w:szCs w:val="24"/>
        </w:rPr>
        <w:t xml:space="preserve"> and administration </w:t>
      </w:r>
      <w:r w:rsidRPr="002A3C23">
        <w:rPr>
          <w:szCs w:val="24"/>
        </w:rPr>
        <w:t>to test animals or patients</w:t>
      </w:r>
      <w:r w:rsidR="002A3C23">
        <w:rPr>
          <w:szCs w:val="24"/>
        </w:rPr>
        <w:t>,</w:t>
      </w:r>
      <w:r w:rsidR="00F94DA5">
        <w:rPr>
          <w:szCs w:val="24"/>
        </w:rPr>
        <w:t xml:space="preserve"> as well as</w:t>
      </w:r>
      <w:r w:rsidRPr="002A3C23">
        <w:rPr>
          <w:szCs w:val="24"/>
        </w:rPr>
        <w:t xml:space="preserve"> the </w:t>
      </w:r>
      <w:r w:rsidR="004748E8" w:rsidRPr="002A3C23">
        <w:rPr>
          <w:szCs w:val="24"/>
        </w:rPr>
        <w:t>treatment</w:t>
      </w:r>
      <w:r w:rsidRPr="002A3C23">
        <w:rPr>
          <w:szCs w:val="24"/>
        </w:rPr>
        <w:t xml:space="preserve"> of </w:t>
      </w:r>
      <w:r w:rsidR="00C80BBA">
        <w:rPr>
          <w:szCs w:val="24"/>
        </w:rPr>
        <w:t xml:space="preserve">GMO </w:t>
      </w:r>
      <w:r w:rsidRPr="002A3C23">
        <w:rPr>
          <w:szCs w:val="24"/>
        </w:rPr>
        <w:t xml:space="preserve">containing </w:t>
      </w:r>
      <w:r w:rsidR="00C80BBA">
        <w:rPr>
          <w:szCs w:val="24"/>
        </w:rPr>
        <w:t>waste</w:t>
      </w:r>
      <w:r w:rsidRPr="002A3C23">
        <w:rPr>
          <w:szCs w:val="24"/>
        </w:rPr>
        <w:t>.</w:t>
      </w:r>
      <w:r w:rsidRPr="00343268">
        <w:rPr>
          <w:szCs w:val="24"/>
        </w:rPr>
        <w:t xml:space="preserve"> </w:t>
      </w:r>
    </w:p>
    <w:p w:rsidR="00C80BBA" w:rsidRDefault="00C80BBA" w:rsidP="000F5487">
      <w:pPr>
        <w:spacing w:line="276" w:lineRule="auto"/>
        <w:rPr>
          <w:szCs w:val="24"/>
        </w:rPr>
      </w:pPr>
    </w:p>
    <w:p w:rsidR="00F94DA5" w:rsidRDefault="00982127" w:rsidP="00F94DA5">
      <w:pPr>
        <w:spacing w:line="276" w:lineRule="auto"/>
        <w:rPr>
          <w:szCs w:val="24"/>
        </w:rPr>
      </w:pPr>
      <w:r>
        <w:rPr>
          <w:szCs w:val="24"/>
        </w:rPr>
        <w:t>In contained use</w:t>
      </w:r>
      <w:r w:rsidR="00063E15">
        <w:rPr>
          <w:szCs w:val="24"/>
        </w:rPr>
        <w:t>,</w:t>
      </w:r>
      <w:r>
        <w:rPr>
          <w:szCs w:val="24"/>
        </w:rPr>
        <w:t xml:space="preserve"> the containment level must correspond </w:t>
      </w:r>
      <w:r w:rsidR="002A3C23">
        <w:rPr>
          <w:szCs w:val="24"/>
        </w:rPr>
        <w:t xml:space="preserve">to </w:t>
      </w:r>
      <w:r>
        <w:rPr>
          <w:szCs w:val="24"/>
        </w:rPr>
        <w:t xml:space="preserve">the class of use. </w:t>
      </w:r>
      <w:r w:rsidR="00C833C5" w:rsidRPr="00343268">
        <w:rPr>
          <w:szCs w:val="24"/>
        </w:rPr>
        <w:t xml:space="preserve">The requirements concerning this </w:t>
      </w:r>
      <w:proofErr w:type="gramStart"/>
      <w:r w:rsidR="00C833C5" w:rsidRPr="00343268">
        <w:rPr>
          <w:szCs w:val="24"/>
        </w:rPr>
        <w:t>are described</w:t>
      </w:r>
      <w:proofErr w:type="gramEnd"/>
      <w:r w:rsidR="00C833C5" w:rsidRPr="00343268">
        <w:rPr>
          <w:szCs w:val="24"/>
        </w:rPr>
        <w:t xml:space="preserve"> in the Annex to the Ministry of Social Affairs and Health Decree 1053/2005. In small-scale production, the requirements laid down in Table 1 </w:t>
      </w:r>
      <w:r w:rsidR="00C833C5" w:rsidRPr="00343268">
        <w:rPr>
          <w:szCs w:val="24"/>
        </w:rPr>
        <w:lastRenderedPageBreak/>
        <w:t>of the Annex are usually sufficient.</w:t>
      </w:r>
      <w:r w:rsidR="00343268">
        <w:rPr>
          <w:szCs w:val="24"/>
        </w:rPr>
        <w:t xml:space="preserve"> </w:t>
      </w:r>
      <w:r w:rsidR="00C833C5" w:rsidRPr="00343268">
        <w:rPr>
          <w:szCs w:val="24"/>
        </w:rPr>
        <w:t xml:space="preserve">However, in industrial-scale production, the requirements laid down in Table 4 </w:t>
      </w:r>
      <w:r w:rsidR="007F4245">
        <w:rPr>
          <w:szCs w:val="24"/>
        </w:rPr>
        <w:t>apply</w:t>
      </w:r>
      <w:r w:rsidR="00C833C5" w:rsidRPr="00343268">
        <w:rPr>
          <w:szCs w:val="24"/>
        </w:rPr>
        <w:t>.</w:t>
      </w:r>
      <w:r w:rsidR="00343268">
        <w:rPr>
          <w:szCs w:val="24"/>
        </w:rPr>
        <w:t xml:space="preserve"> </w:t>
      </w:r>
      <w:r w:rsidR="00C833C5" w:rsidRPr="00343268">
        <w:rPr>
          <w:szCs w:val="24"/>
        </w:rPr>
        <w:t xml:space="preserve">In animal testing, the requirements laid down in Table 3 </w:t>
      </w:r>
      <w:proofErr w:type="gramStart"/>
      <w:r w:rsidR="00C833C5" w:rsidRPr="00343268">
        <w:rPr>
          <w:szCs w:val="24"/>
        </w:rPr>
        <w:t xml:space="preserve">must </w:t>
      </w:r>
      <w:r w:rsidR="00F94DA5">
        <w:rPr>
          <w:szCs w:val="24"/>
        </w:rPr>
        <w:t>be complied</w:t>
      </w:r>
      <w:proofErr w:type="gramEnd"/>
      <w:r w:rsidR="00F94DA5">
        <w:rPr>
          <w:szCs w:val="24"/>
        </w:rPr>
        <w:t xml:space="preserve"> with.</w:t>
      </w:r>
      <w:r w:rsidR="00063E15" w:rsidRPr="00063E15">
        <w:rPr>
          <w:szCs w:val="24"/>
        </w:rPr>
        <w:t xml:space="preserve"> </w:t>
      </w:r>
      <w:r w:rsidR="00063E15">
        <w:rPr>
          <w:szCs w:val="24"/>
        </w:rPr>
        <w:t>Certain containment level</w:t>
      </w:r>
      <w:r w:rsidR="00063E15" w:rsidRPr="00343268">
        <w:rPr>
          <w:szCs w:val="24"/>
        </w:rPr>
        <w:t xml:space="preserve"> requirements</w:t>
      </w:r>
      <w:r w:rsidR="00063E15">
        <w:rPr>
          <w:szCs w:val="24"/>
        </w:rPr>
        <w:t xml:space="preserve"> </w:t>
      </w:r>
      <w:proofErr w:type="gramStart"/>
      <w:r w:rsidR="00063E15" w:rsidRPr="00343268">
        <w:rPr>
          <w:szCs w:val="24"/>
        </w:rPr>
        <w:t>may be waived</w:t>
      </w:r>
      <w:proofErr w:type="gramEnd"/>
      <w:r w:rsidR="00063E15" w:rsidRPr="00343268">
        <w:rPr>
          <w:szCs w:val="24"/>
        </w:rPr>
        <w:t xml:space="preserve"> </w:t>
      </w:r>
      <w:r w:rsidR="00063E15">
        <w:rPr>
          <w:szCs w:val="24"/>
        </w:rPr>
        <w:t xml:space="preserve">in individual cases </w:t>
      </w:r>
      <w:r w:rsidR="00063E15" w:rsidRPr="00343268">
        <w:rPr>
          <w:szCs w:val="24"/>
        </w:rPr>
        <w:t>with the permission of the Board for Gene Technology.</w:t>
      </w:r>
    </w:p>
    <w:p w:rsidR="00F94DA5" w:rsidRDefault="00F94DA5" w:rsidP="00F94DA5">
      <w:pPr>
        <w:spacing w:line="276" w:lineRule="auto"/>
        <w:rPr>
          <w:szCs w:val="24"/>
        </w:rPr>
      </w:pPr>
    </w:p>
    <w:p w:rsidR="00C833C5" w:rsidRPr="00343268" w:rsidRDefault="00C833C5" w:rsidP="00F94DA5">
      <w:pPr>
        <w:spacing w:line="276" w:lineRule="auto"/>
        <w:rPr>
          <w:szCs w:val="24"/>
        </w:rPr>
      </w:pPr>
      <w:r w:rsidRPr="00343268">
        <w:rPr>
          <w:szCs w:val="24"/>
        </w:rPr>
        <w:t>If the</w:t>
      </w:r>
      <w:r w:rsidR="00E97CEA">
        <w:rPr>
          <w:szCs w:val="24"/>
        </w:rPr>
        <w:t xml:space="preserve"> GMOs </w:t>
      </w:r>
      <w:proofErr w:type="gramStart"/>
      <w:r w:rsidR="00E97CEA">
        <w:rPr>
          <w:szCs w:val="24"/>
        </w:rPr>
        <w:t>could be shed</w:t>
      </w:r>
      <w:proofErr w:type="gramEnd"/>
      <w:r w:rsidR="00E97CEA">
        <w:rPr>
          <w:szCs w:val="24"/>
        </w:rPr>
        <w:t xml:space="preserve"> from the patient</w:t>
      </w:r>
      <w:r w:rsidRPr="00343268">
        <w:rPr>
          <w:szCs w:val="24"/>
        </w:rPr>
        <w:t xml:space="preserve"> after </w:t>
      </w:r>
      <w:r w:rsidR="00982127">
        <w:rPr>
          <w:szCs w:val="24"/>
        </w:rPr>
        <w:t xml:space="preserve">the </w:t>
      </w:r>
      <w:r w:rsidR="00542C49">
        <w:rPr>
          <w:szCs w:val="24"/>
        </w:rPr>
        <w:t>procedure</w:t>
      </w:r>
      <w:r w:rsidRPr="00343268">
        <w:rPr>
          <w:szCs w:val="24"/>
        </w:rPr>
        <w:t xml:space="preserve">, the potential adverse effects arising from </w:t>
      </w:r>
      <w:r w:rsidR="00E97CEA">
        <w:rPr>
          <w:szCs w:val="24"/>
        </w:rPr>
        <w:t>shedding</w:t>
      </w:r>
      <w:r w:rsidRPr="00343268">
        <w:rPr>
          <w:szCs w:val="24"/>
        </w:rPr>
        <w:t xml:space="preserve"> must be prevented </w:t>
      </w:r>
      <w:r w:rsidR="00982127">
        <w:rPr>
          <w:szCs w:val="24"/>
        </w:rPr>
        <w:t xml:space="preserve">with </w:t>
      </w:r>
      <w:r w:rsidRPr="00343268">
        <w:rPr>
          <w:szCs w:val="24"/>
        </w:rPr>
        <w:t xml:space="preserve">containment and protective measures. </w:t>
      </w:r>
      <w:r w:rsidR="003D211A" w:rsidRPr="003D211A">
        <w:rPr>
          <w:szCs w:val="24"/>
        </w:rPr>
        <w:t>In such c</w:t>
      </w:r>
      <w:r w:rsidR="003D211A">
        <w:rPr>
          <w:szCs w:val="24"/>
        </w:rPr>
        <w:t xml:space="preserve">ases, particular attention </w:t>
      </w:r>
      <w:proofErr w:type="gramStart"/>
      <w:r w:rsidR="003D211A">
        <w:rPr>
          <w:szCs w:val="24"/>
        </w:rPr>
        <w:t>must</w:t>
      </w:r>
      <w:r w:rsidR="003D211A" w:rsidRPr="003D211A">
        <w:rPr>
          <w:szCs w:val="24"/>
        </w:rPr>
        <w:t xml:space="preserve"> be paid</w:t>
      </w:r>
      <w:proofErr w:type="gramEnd"/>
      <w:r w:rsidR="003D211A" w:rsidRPr="003D211A">
        <w:rPr>
          <w:szCs w:val="24"/>
        </w:rPr>
        <w:t xml:space="preserve"> to situations in which </w:t>
      </w:r>
      <w:r w:rsidR="00E97CEA">
        <w:rPr>
          <w:szCs w:val="24"/>
        </w:rPr>
        <w:t xml:space="preserve">exposure to third parties or the </w:t>
      </w:r>
      <w:r w:rsidR="003D211A" w:rsidRPr="003D211A">
        <w:rPr>
          <w:szCs w:val="24"/>
        </w:rPr>
        <w:t>environment</w:t>
      </w:r>
      <w:r w:rsidR="00E97CEA">
        <w:rPr>
          <w:szCs w:val="24"/>
        </w:rPr>
        <w:t xml:space="preserve"> may occur</w:t>
      </w:r>
      <w:r w:rsidR="003D211A" w:rsidRPr="003D211A">
        <w:rPr>
          <w:szCs w:val="24"/>
        </w:rPr>
        <w:t xml:space="preserve"> and </w:t>
      </w:r>
      <w:r w:rsidR="00E97CEA">
        <w:rPr>
          <w:szCs w:val="24"/>
        </w:rPr>
        <w:t xml:space="preserve">whether the exposure </w:t>
      </w:r>
      <w:r w:rsidR="003D211A">
        <w:rPr>
          <w:szCs w:val="24"/>
        </w:rPr>
        <w:t xml:space="preserve">can </w:t>
      </w:r>
      <w:r w:rsidR="003D211A" w:rsidRPr="003D211A">
        <w:rPr>
          <w:szCs w:val="24"/>
        </w:rPr>
        <w:t xml:space="preserve">be particularly harmful to certain groups, such as pregnant </w:t>
      </w:r>
      <w:r w:rsidR="00E97CEA">
        <w:rPr>
          <w:szCs w:val="24"/>
        </w:rPr>
        <w:t xml:space="preserve">women </w:t>
      </w:r>
      <w:r w:rsidR="003D211A" w:rsidRPr="003D211A">
        <w:rPr>
          <w:szCs w:val="24"/>
        </w:rPr>
        <w:t>or immunocompromised persons.</w:t>
      </w:r>
    </w:p>
    <w:p w:rsidR="00E97CEA" w:rsidRDefault="00E97CEA" w:rsidP="00F94DA5">
      <w:pPr>
        <w:spacing w:line="276" w:lineRule="auto"/>
        <w:rPr>
          <w:szCs w:val="24"/>
        </w:rPr>
      </w:pPr>
    </w:p>
    <w:p w:rsidR="00376E86" w:rsidRDefault="00C833C5" w:rsidP="00F94DA5">
      <w:pPr>
        <w:spacing w:line="276" w:lineRule="auto"/>
      </w:pPr>
      <w:r w:rsidRPr="00343268">
        <w:rPr>
          <w:szCs w:val="24"/>
        </w:rPr>
        <w:t xml:space="preserve">Class 1 </w:t>
      </w:r>
      <w:r w:rsidR="00063E15">
        <w:rPr>
          <w:szCs w:val="24"/>
        </w:rPr>
        <w:t>or</w:t>
      </w:r>
      <w:r w:rsidRPr="00343268">
        <w:rPr>
          <w:szCs w:val="24"/>
        </w:rPr>
        <w:t xml:space="preserve"> 2 </w:t>
      </w:r>
      <w:r w:rsidR="00063E15">
        <w:rPr>
          <w:szCs w:val="24"/>
        </w:rPr>
        <w:t xml:space="preserve">contained use </w:t>
      </w:r>
      <w:r w:rsidRPr="00343268">
        <w:rPr>
          <w:szCs w:val="24"/>
        </w:rPr>
        <w:t xml:space="preserve">does not require </w:t>
      </w:r>
      <w:r w:rsidR="00AA546D">
        <w:rPr>
          <w:szCs w:val="24"/>
        </w:rPr>
        <w:t xml:space="preserve">a </w:t>
      </w:r>
      <w:r w:rsidR="00982127">
        <w:rPr>
          <w:szCs w:val="24"/>
        </w:rPr>
        <w:t>written decision from</w:t>
      </w:r>
      <w:r w:rsidRPr="00343268">
        <w:rPr>
          <w:szCs w:val="24"/>
        </w:rPr>
        <w:t xml:space="preserve"> the Board for Gene Technology.</w:t>
      </w:r>
      <w:r w:rsidR="00343268">
        <w:rPr>
          <w:szCs w:val="24"/>
        </w:rPr>
        <w:t xml:space="preserve"> </w:t>
      </w:r>
      <w:r w:rsidR="00376E86">
        <w:rPr>
          <w:szCs w:val="24"/>
        </w:rPr>
        <w:t>C</w:t>
      </w:r>
      <w:r w:rsidRPr="00343268">
        <w:rPr>
          <w:szCs w:val="24"/>
        </w:rPr>
        <w:t xml:space="preserve">lass 1 </w:t>
      </w:r>
      <w:r w:rsidR="00376E86">
        <w:rPr>
          <w:szCs w:val="24"/>
        </w:rPr>
        <w:t xml:space="preserve">use </w:t>
      </w:r>
      <w:proofErr w:type="gramStart"/>
      <w:r w:rsidRPr="00343268">
        <w:rPr>
          <w:szCs w:val="24"/>
        </w:rPr>
        <w:t>may be started</w:t>
      </w:r>
      <w:proofErr w:type="gramEnd"/>
      <w:r w:rsidRPr="00343268">
        <w:rPr>
          <w:szCs w:val="24"/>
        </w:rPr>
        <w:t xml:space="preserve"> as soon as the notification </w:t>
      </w:r>
      <w:r w:rsidR="00376E86" w:rsidRPr="00376E86">
        <w:rPr>
          <w:szCs w:val="24"/>
        </w:rPr>
        <w:t xml:space="preserve">referred to in section 14 of the Gene </w:t>
      </w:r>
      <w:r w:rsidR="00063E15">
        <w:rPr>
          <w:szCs w:val="24"/>
        </w:rPr>
        <w:t>T</w:t>
      </w:r>
      <w:r w:rsidR="00376E86" w:rsidRPr="00376E86">
        <w:rPr>
          <w:szCs w:val="24"/>
        </w:rPr>
        <w:t xml:space="preserve">echnology Act </w:t>
      </w:r>
      <w:r w:rsidRPr="00343268">
        <w:rPr>
          <w:szCs w:val="24"/>
        </w:rPr>
        <w:t>has been submitted</w:t>
      </w:r>
      <w:r w:rsidR="00AB558F">
        <w:rPr>
          <w:szCs w:val="24"/>
        </w:rPr>
        <w:t xml:space="preserve"> to the Board</w:t>
      </w:r>
      <w:r w:rsidRPr="00343268">
        <w:rPr>
          <w:szCs w:val="24"/>
        </w:rPr>
        <w:t>.</w:t>
      </w:r>
      <w:r w:rsidR="00AB558F" w:rsidRPr="00AB558F">
        <w:t xml:space="preserve"> </w:t>
      </w:r>
      <w:r w:rsidR="00AB558F" w:rsidRPr="00AB558F">
        <w:rPr>
          <w:szCs w:val="24"/>
        </w:rPr>
        <w:t xml:space="preserve">If a </w:t>
      </w:r>
      <w:r w:rsidR="00376E86">
        <w:rPr>
          <w:szCs w:val="24"/>
        </w:rPr>
        <w:t>C</w:t>
      </w:r>
      <w:r w:rsidR="00AB558F">
        <w:rPr>
          <w:szCs w:val="24"/>
        </w:rPr>
        <w:t xml:space="preserve">lass 1 clinical trial </w:t>
      </w:r>
      <w:proofErr w:type="gramStart"/>
      <w:r w:rsidR="00AB558F">
        <w:rPr>
          <w:szCs w:val="24"/>
        </w:rPr>
        <w:t>will be conducted</w:t>
      </w:r>
      <w:proofErr w:type="gramEnd"/>
      <w:r w:rsidR="00AB558F">
        <w:rPr>
          <w:szCs w:val="24"/>
        </w:rPr>
        <w:t xml:space="preserve"> in previously notified</w:t>
      </w:r>
      <w:r w:rsidR="00AB558F" w:rsidRPr="00AB558F">
        <w:rPr>
          <w:szCs w:val="24"/>
        </w:rPr>
        <w:t xml:space="preserve"> premises, no new notification is required</w:t>
      </w:r>
      <w:r w:rsidR="00AB558F">
        <w:rPr>
          <w:szCs w:val="24"/>
        </w:rPr>
        <w:t xml:space="preserve"> as long as the record-keeping procedure is followed. However, the </w:t>
      </w:r>
      <w:r w:rsidR="00AB558F" w:rsidRPr="00AB558F">
        <w:rPr>
          <w:szCs w:val="24"/>
        </w:rPr>
        <w:t xml:space="preserve">risk assessment referred to in section 8 of the Act </w:t>
      </w:r>
      <w:proofErr w:type="gramStart"/>
      <w:r w:rsidR="00AB558F">
        <w:rPr>
          <w:szCs w:val="24"/>
        </w:rPr>
        <w:t>must be submitted</w:t>
      </w:r>
      <w:proofErr w:type="gramEnd"/>
      <w:r w:rsidR="00AB558F">
        <w:rPr>
          <w:szCs w:val="24"/>
        </w:rPr>
        <w:t xml:space="preserve"> to the Board before commencing the new trial</w:t>
      </w:r>
      <w:r w:rsidR="00AB558F" w:rsidRPr="00AB558F">
        <w:rPr>
          <w:szCs w:val="24"/>
        </w:rPr>
        <w:t>.</w:t>
      </w:r>
      <w:r w:rsidR="00376E86" w:rsidRPr="00376E86">
        <w:t xml:space="preserve"> </w:t>
      </w:r>
    </w:p>
    <w:p w:rsidR="00376E86" w:rsidRDefault="00376E86" w:rsidP="00F94DA5">
      <w:pPr>
        <w:spacing w:line="276" w:lineRule="auto"/>
        <w:rPr>
          <w:szCs w:val="24"/>
        </w:rPr>
      </w:pPr>
    </w:p>
    <w:p w:rsidR="00274B7D" w:rsidRDefault="00376E86" w:rsidP="00F94DA5">
      <w:pPr>
        <w:spacing w:line="276" w:lineRule="auto"/>
        <w:rPr>
          <w:szCs w:val="24"/>
        </w:rPr>
      </w:pPr>
      <w:r>
        <w:rPr>
          <w:szCs w:val="24"/>
        </w:rPr>
        <w:t>C</w:t>
      </w:r>
      <w:r w:rsidR="00C833C5" w:rsidRPr="00343268">
        <w:rPr>
          <w:szCs w:val="24"/>
        </w:rPr>
        <w:t xml:space="preserve">lass 2 </w:t>
      </w:r>
      <w:r>
        <w:rPr>
          <w:szCs w:val="24"/>
        </w:rPr>
        <w:t xml:space="preserve">use </w:t>
      </w:r>
      <w:proofErr w:type="gramStart"/>
      <w:r w:rsidR="00C833C5" w:rsidRPr="00343268">
        <w:rPr>
          <w:szCs w:val="24"/>
        </w:rPr>
        <w:t>may be started</w:t>
      </w:r>
      <w:proofErr w:type="gramEnd"/>
      <w:r w:rsidR="00C833C5" w:rsidRPr="00343268">
        <w:rPr>
          <w:szCs w:val="24"/>
        </w:rPr>
        <w:t xml:space="preserve"> 45 days from the submission of th</w:t>
      </w:r>
      <w:r w:rsidR="00AB558F">
        <w:rPr>
          <w:szCs w:val="24"/>
        </w:rPr>
        <w:t>e notification</w:t>
      </w:r>
      <w:r>
        <w:rPr>
          <w:szCs w:val="24"/>
        </w:rPr>
        <w:t>,</w:t>
      </w:r>
      <w:r w:rsidR="00AB558F">
        <w:rPr>
          <w:szCs w:val="24"/>
        </w:rPr>
        <w:t xml:space="preserve"> if the contained use premises </w:t>
      </w:r>
      <w:r w:rsidR="00C833C5" w:rsidRPr="00343268">
        <w:rPr>
          <w:szCs w:val="24"/>
        </w:rPr>
        <w:t>have not been previously approved</w:t>
      </w:r>
      <w:r w:rsidR="00AB558F">
        <w:rPr>
          <w:szCs w:val="24"/>
        </w:rPr>
        <w:t xml:space="preserve"> for containment level 2</w:t>
      </w:r>
      <w:r w:rsidR="00063E15">
        <w:rPr>
          <w:szCs w:val="24"/>
        </w:rPr>
        <w:t xml:space="preserve"> use</w:t>
      </w:r>
      <w:r w:rsidR="00C833C5" w:rsidRPr="00343268">
        <w:rPr>
          <w:szCs w:val="24"/>
        </w:rPr>
        <w:t>.</w:t>
      </w:r>
      <w:r w:rsidR="00343268">
        <w:rPr>
          <w:szCs w:val="24"/>
        </w:rPr>
        <w:t xml:space="preserve"> </w:t>
      </w:r>
      <w:r w:rsidR="00C833C5" w:rsidRPr="00343268">
        <w:rPr>
          <w:szCs w:val="24"/>
        </w:rPr>
        <w:t>As regards class 2, the operator</w:t>
      </w:r>
      <w:r w:rsidR="00274B7D">
        <w:rPr>
          <w:szCs w:val="24"/>
        </w:rPr>
        <w:t xml:space="preserve"> has the possibility to</w:t>
      </w:r>
      <w:r w:rsidR="00C833C5" w:rsidRPr="00343268">
        <w:rPr>
          <w:szCs w:val="24"/>
        </w:rPr>
        <w:t xml:space="preserve"> request a</w:t>
      </w:r>
      <w:r w:rsidR="00343268">
        <w:rPr>
          <w:szCs w:val="24"/>
        </w:rPr>
        <w:t xml:space="preserve"> </w:t>
      </w:r>
      <w:r w:rsidR="00C833C5" w:rsidRPr="00343268">
        <w:rPr>
          <w:szCs w:val="24"/>
        </w:rPr>
        <w:t xml:space="preserve">written </w:t>
      </w:r>
      <w:r w:rsidR="00982127">
        <w:rPr>
          <w:szCs w:val="24"/>
        </w:rPr>
        <w:t>decision</w:t>
      </w:r>
      <w:r w:rsidR="00C833C5" w:rsidRPr="00343268">
        <w:rPr>
          <w:szCs w:val="24"/>
        </w:rPr>
        <w:t xml:space="preserve"> from GTLK.</w:t>
      </w:r>
    </w:p>
    <w:p w:rsidR="00274B7D" w:rsidRDefault="00274B7D" w:rsidP="00F94DA5">
      <w:pPr>
        <w:spacing w:line="276" w:lineRule="auto"/>
        <w:rPr>
          <w:szCs w:val="24"/>
        </w:rPr>
      </w:pPr>
    </w:p>
    <w:p w:rsidR="00C833C5" w:rsidRPr="00343268" w:rsidRDefault="00376E86" w:rsidP="00F94DA5">
      <w:pPr>
        <w:spacing w:line="276" w:lineRule="auto"/>
        <w:rPr>
          <w:szCs w:val="24"/>
        </w:rPr>
      </w:pPr>
      <w:r>
        <w:rPr>
          <w:szCs w:val="24"/>
        </w:rPr>
        <w:t>C</w:t>
      </w:r>
      <w:r w:rsidR="00C833C5" w:rsidRPr="00343268">
        <w:rPr>
          <w:szCs w:val="24"/>
        </w:rPr>
        <w:t>lass 3</w:t>
      </w:r>
      <w:r w:rsidR="00982127">
        <w:rPr>
          <w:szCs w:val="24"/>
        </w:rPr>
        <w:t xml:space="preserve"> </w:t>
      </w:r>
      <w:r>
        <w:rPr>
          <w:szCs w:val="24"/>
        </w:rPr>
        <w:t xml:space="preserve">use </w:t>
      </w:r>
      <w:r w:rsidR="00982127">
        <w:rPr>
          <w:szCs w:val="24"/>
        </w:rPr>
        <w:t>always</w:t>
      </w:r>
      <w:r w:rsidR="00C833C5" w:rsidRPr="00343268">
        <w:rPr>
          <w:szCs w:val="24"/>
        </w:rPr>
        <w:t xml:space="preserve"> requires an application and </w:t>
      </w:r>
      <w:r w:rsidR="00982127">
        <w:rPr>
          <w:szCs w:val="24"/>
        </w:rPr>
        <w:t>decision on approval</w:t>
      </w:r>
      <w:r w:rsidR="00C833C5" w:rsidRPr="00343268">
        <w:rPr>
          <w:szCs w:val="24"/>
        </w:rPr>
        <w:t xml:space="preserve"> by GTLK before the use</w:t>
      </w:r>
      <w:r w:rsidR="00982127">
        <w:rPr>
          <w:szCs w:val="24"/>
        </w:rPr>
        <w:t xml:space="preserve"> </w:t>
      </w:r>
      <w:proofErr w:type="gramStart"/>
      <w:r w:rsidR="00982127">
        <w:rPr>
          <w:szCs w:val="24"/>
        </w:rPr>
        <w:t>can be commenced</w:t>
      </w:r>
      <w:proofErr w:type="gramEnd"/>
      <w:r w:rsidR="00C833C5" w:rsidRPr="00343268">
        <w:rPr>
          <w:szCs w:val="24"/>
        </w:rPr>
        <w:t>.</w:t>
      </w:r>
      <w:r w:rsidRPr="00376E86">
        <w:t xml:space="preserve"> </w:t>
      </w:r>
    </w:p>
    <w:p w:rsidR="00C833C5" w:rsidRPr="00343268" w:rsidRDefault="00C833C5" w:rsidP="00F94DA5">
      <w:pPr>
        <w:spacing w:line="276" w:lineRule="auto"/>
        <w:rPr>
          <w:szCs w:val="24"/>
        </w:rPr>
      </w:pPr>
    </w:p>
    <w:p w:rsidR="00C833C5" w:rsidRPr="00343268" w:rsidRDefault="00C833C5" w:rsidP="00F94DA5">
      <w:pPr>
        <w:spacing w:line="276" w:lineRule="auto"/>
        <w:rPr>
          <w:szCs w:val="24"/>
        </w:rPr>
      </w:pPr>
      <w:r w:rsidRPr="00343268">
        <w:rPr>
          <w:szCs w:val="24"/>
        </w:rPr>
        <w:t xml:space="preserve">The </w:t>
      </w:r>
      <w:r w:rsidR="00982127" w:rsidRPr="00343268">
        <w:rPr>
          <w:szCs w:val="24"/>
        </w:rPr>
        <w:t xml:space="preserve">contained use </w:t>
      </w:r>
      <w:r w:rsidRPr="00343268">
        <w:rPr>
          <w:szCs w:val="24"/>
        </w:rPr>
        <w:t xml:space="preserve">notification </w:t>
      </w:r>
      <w:proofErr w:type="gramStart"/>
      <w:r w:rsidRPr="00343268">
        <w:rPr>
          <w:szCs w:val="24"/>
        </w:rPr>
        <w:t xml:space="preserve">must be </w:t>
      </w:r>
      <w:r w:rsidR="00982127">
        <w:rPr>
          <w:szCs w:val="24"/>
        </w:rPr>
        <w:t>written</w:t>
      </w:r>
      <w:proofErr w:type="gramEnd"/>
      <w:r w:rsidR="00982127">
        <w:rPr>
          <w:szCs w:val="24"/>
        </w:rPr>
        <w:t xml:space="preserve"> </w:t>
      </w:r>
      <w:r w:rsidRPr="00343268">
        <w:rPr>
          <w:szCs w:val="24"/>
        </w:rPr>
        <w:t>in Finnish or Swedish.</w:t>
      </w:r>
      <w:r w:rsidR="00343268">
        <w:rPr>
          <w:szCs w:val="24"/>
        </w:rPr>
        <w:t xml:space="preserve"> </w:t>
      </w:r>
      <w:r w:rsidR="00063E15">
        <w:rPr>
          <w:szCs w:val="24"/>
        </w:rPr>
        <w:t xml:space="preserve">Only </w:t>
      </w:r>
      <w:r w:rsidRPr="00343268">
        <w:rPr>
          <w:szCs w:val="24"/>
        </w:rPr>
        <w:t>if the person</w:t>
      </w:r>
      <w:r w:rsidR="003755CD">
        <w:rPr>
          <w:szCs w:val="24"/>
        </w:rPr>
        <w:t>s</w:t>
      </w:r>
      <w:r w:rsidRPr="00343268">
        <w:rPr>
          <w:szCs w:val="24"/>
        </w:rPr>
        <w:t xml:space="preserve"> in charge and the</w:t>
      </w:r>
      <w:r w:rsidR="003755CD">
        <w:rPr>
          <w:szCs w:val="24"/>
        </w:rPr>
        <w:t>ir</w:t>
      </w:r>
      <w:r w:rsidRPr="00343268">
        <w:rPr>
          <w:szCs w:val="24"/>
        </w:rPr>
        <w:t xml:space="preserve"> deput</w:t>
      </w:r>
      <w:r w:rsidR="003755CD">
        <w:rPr>
          <w:szCs w:val="24"/>
        </w:rPr>
        <w:t>ies</w:t>
      </w:r>
      <w:r w:rsidRPr="00343268">
        <w:rPr>
          <w:szCs w:val="24"/>
        </w:rPr>
        <w:t xml:space="preserve"> are not able to use either Finnish or Swedish</w:t>
      </w:r>
      <w:r w:rsidR="00063E15">
        <w:rPr>
          <w:szCs w:val="24"/>
        </w:rPr>
        <w:t>, can t</w:t>
      </w:r>
      <w:r w:rsidR="00063E15" w:rsidRPr="00343268">
        <w:rPr>
          <w:szCs w:val="24"/>
        </w:rPr>
        <w:t>he notification be submitted in English</w:t>
      </w:r>
      <w:r w:rsidRPr="00343268">
        <w:rPr>
          <w:szCs w:val="24"/>
        </w:rPr>
        <w:t xml:space="preserve">. </w:t>
      </w:r>
    </w:p>
    <w:p w:rsidR="00C833C5" w:rsidRPr="00343268" w:rsidRDefault="00C833C5" w:rsidP="00F94DA5">
      <w:pPr>
        <w:spacing w:line="276" w:lineRule="auto"/>
        <w:rPr>
          <w:szCs w:val="24"/>
        </w:rPr>
      </w:pPr>
    </w:p>
    <w:p w:rsidR="00C833C5" w:rsidRPr="00343268" w:rsidRDefault="00C833C5" w:rsidP="00F94DA5">
      <w:pPr>
        <w:spacing w:line="276" w:lineRule="auto"/>
        <w:rPr>
          <w:szCs w:val="24"/>
        </w:rPr>
      </w:pPr>
      <w:r w:rsidRPr="00343268">
        <w:rPr>
          <w:szCs w:val="24"/>
        </w:rPr>
        <w:t>For the</w:t>
      </w:r>
      <w:r w:rsidR="00343268">
        <w:rPr>
          <w:szCs w:val="24"/>
        </w:rPr>
        <w:t xml:space="preserve"> </w:t>
      </w:r>
      <w:r w:rsidRPr="00343268">
        <w:rPr>
          <w:szCs w:val="24"/>
        </w:rPr>
        <w:t xml:space="preserve">notification form for contained use and </w:t>
      </w:r>
      <w:proofErr w:type="gramStart"/>
      <w:r w:rsidR="00376E86">
        <w:rPr>
          <w:szCs w:val="24"/>
        </w:rPr>
        <w:t xml:space="preserve">for </w:t>
      </w:r>
      <w:r w:rsidRPr="00343268">
        <w:rPr>
          <w:szCs w:val="24"/>
        </w:rPr>
        <w:t>more detailed instructions</w:t>
      </w:r>
      <w:r w:rsidR="00982127">
        <w:rPr>
          <w:szCs w:val="24"/>
        </w:rPr>
        <w:t xml:space="preserve"> on </w:t>
      </w:r>
      <w:r w:rsidR="00376E86">
        <w:rPr>
          <w:szCs w:val="24"/>
        </w:rPr>
        <w:t xml:space="preserve">the </w:t>
      </w:r>
      <w:r w:rsidR="00982127">
        <w:rPr>
          <w:szCs w:val="24"/>
        </w:rPr>
        <w:t>notification procedure</w:t>
      </w:r>
      <w:r w:rsidRPr="00343268">
        <w:rPr>
          <w:szCs w:val="24"/>
        </w:rPr>
        <w:t>,</w:t>
      </w:r>
      <w:proofErr w:type="gramEnd"/>
      <w:r w:rsidRPr="00343268">
        <w:rPr>
          <w:szCs w:val="24"/>
        </w:rPr>
        <w:t xml:space="preserve"> </w:t>
      </w:r>
      <w:r w:rsidR="00376E86">
        <w:rPr>
          <w:szCs w:val="24"/>
        </w:rPr>
        <w:t xml:space="preserve">please </w:t>
      </w:r>
      <w:r w:rsidRPr="00343268">
        <w:rPr>
          <w:szCs w:val="24"/>
        </w:rPr>
        <w:t>visit the website of GTLK (geenitekniikanlautakunta.fi).</w:t>
      </w:r>
    </w:p>
    <w:p w:rsidR="00C833C5" w:rsidRPr="00343268" w:rsidRDefault="00C833C5" w:rsidP="00F94DA5">
      <w:pPr>
        <w:spacing w:line="276" w:lineRule="auto"/>
        <w:rPr>
          <w:szCs w:val="24"/>
        </w:rPr>
      </w:pPr>
    </w:p>
    <w:p w:rsidR="00C833C5" w:rsidRPr="00343268" w:rsidRDefault="00C833C5" w:rsidP="00451546">
      <w:pPr>
        <w:spacing w:after="240" w:line="276" w:lineRule="auto"/>
        <w:rPr>
          <w:b/>
          <w:bCs/>
          <w:szCs w:val="24"/>
        </w:rPr>
      </w:pPr>
      <w:r w:rsidRPr="00343268">
        <w:rPr>
          <w:b/>
          <w:szCs w:val="24"/>
        </w:rPr>
        <w:t xml:space="preserve">Field trial </w:t>
      </w:r>
      <w:r w:rsidR="004C2635">
        <w:rPr>
          <w:b/>
          <w:szCs w:val="24"/>
        </w:rPr>
        <w:t xml:space="preserve">(deliberate release </w:t>
      </w:r>
      <w:r w:rsidR="004C2635" w:rsidRPr="004C2635">
        <w:rPr>
          <w:b/>
          <w:szCs w:val="24"/>
        </w:rPr>
        <w:t>for any other purpose than for placing on the market)</w:t>
      </w:r>
    </w:p>
    <w:p w:rsidR="00C833C5" w:rsidRPr="00343268" w:rsidRDefault="00C833C5" w:rsidP="00F94DA5">
      <w:pPr>
        <w:spacing w:line="276" w:lineRule="auto"/>
        <w:rPr>
          <w:szCs w:val="24"/>
        </w:rPr>
      </w:pPr>
      <w:r w:rsidRPr="00343268">
        <w:rPr>
          <w:szCs w:val="24"/>
        </w:rPr>
        <w:t xml:space="preserve">Provisions on the deliberate release into the environment for any other purpose than for placing on the market (field trials) </w:t>
      </w:r>
      <w:proofErr w:type="gramStart"/>
      <w:r w:rsidRPr="00343268">
        <w:rPr>
          <w:szCs w:val="24"/>
        </w:rPr>
        <w:t xml:space="preserve">are </w:t>
      </w:r>
      <w:r w:rsidR="00AA546D">
        <w:rPr>
          <w:szCs w:val="24"/>
        </w:rPr>
        <w:t>stipulated</w:t>
      </w:r>
      <w:proofErr w:type="gramEnd"/>
      <w:r w:rsidRPr="00343268">
        <w:rPr>
          <w:szCs w:val="24"/>
        </w:rPr>
        <w:t xml:space="preserve"> in </w:t>
      </w:r>
      <w:r w:rsidR="00AA546D">
        <w:rPr>
          <w:szCs w:val="24"/>
        </w:rPr>
        <w:t>C</w:t>
      </w:r>
      <w:r w:rsidRPr="00343268">
        <w:rPr>
          <w:szCs w:val="24"/>
        </w:rPr>
        <w:t>hapter 5 of the Gene Technology Act. The Decree of the Ministry of Social Affairs and Health on the Deliberate Release of Genetically Modified Organisms (110</w:t>
      </w:r>
      <w:r w:rsidR="004C2635">
        <w:rPr>
          <w:szCs w:val="24"/>
        </w:rPr>
        <w:t>5/2019</w:t>
      </w:r>
      <w:r w:rsidRPr="00343268">
        <w:rPr>
          <w:szCs w:val="24"/>
        </w:rPr>
        <w:t>) contains more detailed provisions on the contents of a field trial application, risk assessment and reporting of the results.</w:t>
      </w:r>
      <w:r w:rsidR="00343268">
        <w:rPr>
          <w:szCs w:val="24"/>
        </w:rPr>
        <w:t xml:space="preserve"> </w:t>
      </w:r>
      <w:r w:rsidRPr="00343268">
        <w:rPr>
          <w:szCs w:val="24"/>
        </w:rPr>
        <w:t xml:space="preserve">The national legislation </w:t>
      </w:r>
      <w:proofErr w:type="gramStart"/>
      <w:r w:rsidRPr="00343268">
        <w:rPr>
          <w:szCs w:val="24"/>
        </w:rPr>
        <w:t>is based</w:t>
      </w:r>
      <w:proofErr w:type="gramEnd"/>
      <w:r w:rsidRPr="00343268">
        <w:rPr>
          <w:szCs w:val="24"/>
        </w:rPr>
        <w:t xml:space="preserve"> on the Directive 2001/18/EC and the Commission and Council decisions supplementing it. Operators planning field trials should familiarise themselves with the contents of </w:t>
      </w:r>
      <w:r w:rsidR="00C66CB1">
        <w:rPr>
          <w:szCs w:val="24"/>
        </w:rPr>
        <w:t>these provisions</w:t>
      </w:r>
      <w:r w:rsidRPr="00343268">
        <w:rPr>
          <w:szCs w:val="24"/>
        </w:rPr>
        <w:t xml:space="preserve">. </w:t>
      </w:r>
    </w:p>
    <w:p w:rsidR="00C833C5" w:rsidRPr="00343268" w:rsidRDefault="00C833C5" w:rsidP="00F94DA5">
      <w:pPr>
        <w:spacing w:line="276" w:lineRule="auto"/>
        <w:rPr>
          <w:szCs w:val="24"/>
        </w:rPr>
      </w:pPr>
    </w:p>
    <w:p w:rsidR="00C833C5" w:rsidRPr="00343268" w:rsidRDefault="004C2635" w:rsidP="00F94DA5">
      <w:pPr>
        <w:spacing w:line="276" w:lineRule="auto"/>
        <w:rPr>
          <w:szCs w:val="24"/>
        </w:rPr>
      </w:pPr>
      <w:r>
        <w:rPr>
          <w:szCs w:val="24"/>
        </w:rPr>
        <w:t>Activities that involve</w:t>
      </w:r>
      <w:r w:rsidR="00C833C5" w:rsidRPr="00343268">
        <w:rPr>
          <w:szCs w:val="24"/>
        </w:rPr>
        <w:t xml:space="preserve"> placing of a product on the market </w:t>
      </w:r>
      <w:proofErr w:type="gramStart"/>
      <w:r>
        <w:rPr>
          <w:szCs w:val="24"/>
        </w:rPr>
        <w:t>cannot be</w:t>
      </w:r>
      <w:r w:rsidRPr="00343268">
        <w:rPr>
          <w:szCs w:val="24"/>
        </w:rPr>
        <w:t xml:space="preserve"> considered</w:t>
      </w:r>
      <w:proofErr w:type="gramEnd"/>
      <w:r w:rsidRPr="00343268">
        <w:rPr>
          <w:szCs w:val="24"/>
        </w:rPr>
        <w:t xml:space="preserve"> </w:t>
      </w:r>
      <w:r w:rsidR="00376E86">
        <w:rPr>
          <w:szCs w:val="24"/>
        </w:rPr>
        <w:t xml:space="preserve">as </w:t>
      </w:r>
      <w:r w:rsidRPr="00343268">
        <w:rPr>
          <w:szCs w:val="24"/>
        </w:rPr>
        <w:t>field trials</w:t>
      </w:r>
      <w:r>
        <w:rPr>
          <w:szCs w:val="24"/>
        </w:rPr>
        <w:t>. Marketing means that the GMO</w:t>
      </w:r>
      <w:r w:rsidR="00C833C5" w:rsidRPr="00343268">
        <w:rPr>
          <w:szCs w:val="24"/>
        </w:rPr>
        <w:t xml:space="preserve"> product </w:t>
      </w:r>
      <w:proofErr w:type="gramStart"/>
      <w:r>
        <w:rPr>
          <w:szCs w:val="24"/>
        </w:rPr>
        <w:t>is made</w:t>
      </w:r>
      <w:proofErr w:type="gramEnd"/>
      <w:r>
        <w:rPr>
          <w:szCs w:val="24"/>
        </w:rPr>
        <w:t xml:space="preserve"> </w:t>
      </w:r>
      <w:r w:rsidR="00C833C5" w:rsidRPr="00343268">
        <w:rPr>
          <w:szCs w:val="24"/>
        </w:rPr>
        <w:t>available to third parties, whether in retur</w:t>
      </w:r>
      <w:r>
        <w:rPr>
          <w:szCs w:val="24"/>
        </w:rPr>
        <w:t>n for payment or free of charge</w:t>
      </w:r>
      <w:r w:rsidR="00C833C5" w:rsidRPr="00343268">
        <w:rPr>
          <w:szCs w:val="24"/>
        </w:rPr>
        <w:t xml:space="preserve">. </w:t>
      </w:r>
    </w:p>
    <w:p w:rsidR="00C833C5" w:rsidRPr="00343268" w:rsidRDefault="00C833C5" w:rsidP="00F94DA5">
      <w:pPr>
        <w:spacing w:line="276" w:lineRule="auto"/>
        <w:rPr>
          <w:szCs w:val="24"/>
        </w:rPr>
      </w:pPr>
    </w:p>
    <w:p w:rsidR="00C833C5" w:rsidRPr="00343268" w:rsidRDefault="004C2635" w:rsidP="00F94DA5">
      <w:pPr>
        <w:spacing w:line="276" w:lineRule="auto"/>
        <w:rPr>
          <w:szCs w:val="24"/>
        </w:rPr>
      </w:pPr>
      <w:r>
        <w:rPr>
          <w:szCs w:val="24"/>
        </w:rPr>
        <w:t>GTLK</w:t>
      </w:r>
      <w:r w:rsidR="00C833C5" w:rsidRPr="00343268">
        <w:rPr>
          <w:szCs w:val="24"/>
        </w:rPr>
        <w:t xml:space="preserve"> must issue its decision within 120 days of receiving the application.</w:t>
      </w:r>
      <w:r w:rsidR="00343268">
        <w:rPr>
          <w:szCs w:val="24"/>
        </w:rPr>
        <w:t xml:space="preserve"> </w:t>
      </w:r>
      <w:r w:rsidR="00C833C5" w:rsidRPr="00343268">
        <w:rPr>
          <w:szCs w:val="24"/>
        </w:rPr>
        <w:t>The waiting</w:t>
      </w:r>
      <w:r w:rsidR="00085497">
        <w:rPr>
          <w:szCs w:val="24"/>
        </w:rPr>
        <w:t xml:space="preserve"> period</w:t>
      </w:r>
      <w:r w:rsidR="00C833C5" w:rsidRPr="00343268">
        <w:rPr>
          <w:szCs w:val="24"/>
        </w:rPr>
        <w:t xml:space="preserve"> for any additional information requested by the Board is not included. </w:t>
      </w:r>
      <w:r w:rsidR="00376E86">
        <w:rPr>
          <w:szCs w:val="24"/>
        </w:rPr>
        <w:t>T</w:t>
      </w:r>
      <w:r w:rsidR="00376E86" w:rsidRPr="00F172FD">
        <w:rPr>
          <w:szCs w:val="24"/>
        </w:rPr>
        <w:t>herefore,</w:t>
      </w:r>
      <w:r w:rsidR="00085497">
        <w:rPr>
          <w:szCs w:val="24"/>
        </w:rPr>
        <w:t xml:space="preserve"> it is</w:t>
      </w:r>
      <w:r w:rsidR="00F172FD" w:rsidRPr="00F172FD">
        <w:rPr>
          <w:szCs w:val="24"/>
        </w:rPr>
        <w:t xml:space="preserve"> recommen</w:t>
      </w:r>
      <w:r w:rsidR="00446CFA">
        <w:rPr>
          <w:szCs w:val="24"/>
        </w:rPr>
        <w:t xml:space="preserve">ded that the operator </w:t>
      </w:r>
      <w:proofErr w:type="gramStart"/>
      <w:r w:rsidR="00446CFA">
        <w:rPr>
          <w:szCs w:val="24"/>
        </w:rPr>
        <w:t>submits</w:t>
      </w:r>
      <w:proofErr w:type="gramEnd"/>
      <w:r w:rsidR="00085497">
        <w:rPr>
          <w:szCs w:val="24"/>
        </w:rPr>
        <w:t xml:space="preserve"> their</w:t>
      </w:r>
      <w:r w:rsidR="00F172FD" w:rsidRPr="00F172FD">
        <w:rPr>
          <w:szCs w:val="24"/>
        </w:rPr>
        <w:t xml:space="preserve"> application to the Board at least 4-5 months before the</w:t>
      </w:r>
      <w:r w:rsidR="00F172FD">
        <w:rPr>
          <w:szCs w:val="24"/>
        </w:rPr>
        <w:t xml:space="preserve"> intended start of the field trial</w:t>
      </w:r>
      <w:r w:rsidR="00F172FD" w:rsidRPr="00F172FD">
        <w:rPr>
          <w:szCs w:val="24"/>
        </w:rPr>
        <w:t>.</w:t>
      </w:r>
    </w:p>
    <w:p w:rsidR="00C833C5" w:rsidRPr="00343268" w:rsidRDefault="00C833C5" w:rsidP="00F94DA5">
      <w:pPr>
        <w:spacing w:line="276" w:lineRule="auto"/>
        <w:rPr>
          <w:szCs w:val="24"/>
        </w:rPr>
      </w:pPr>
    </w:p>
    <w:p w:rsidR="00376E86" w:rsidRPr="00343268" w:rsidRDefault="00F172FD" w:rsidP="00F94DA5">
      <w:pPr>
        <w:spacing w:line="276" w:lineRule="auto"/>
        <w:rPr>
          <w:szCs w:val="24"/>
        </w:rPr>
      </w:pPr>
      <w:r>
        <w:rPr>
          <w:szCs w:val="24"/>
        </w:rPr>
        <w:t>A public consultation lasting 3</w:t>
      </w:r>
      <w:r w:rsidR="00C833C5" w:rsidRPr="00343268">
        <w:rPr>
          <w:szCs w:val="24"/>
        </w:rPr>
        <w:t xml:space="preserve">0 days </w:t>
      </w:r>
      <w:proofErr w:type="gramStart"/>
      <w:r w:rsidR="00C833C5" w:rsidRPr="00343268">
        <w:rPr>
          <w:szCs w:val="24"/>
        </w:rPr>
        <w:t>is held</w:t>
      </w:r>
      <w:proofErr w:type="gramEnd"/>
      <w:r w:rsidR="00C833C5" w:rsidRPr="00343268">
        <w:rPr>
          <w:szCs w:val="24"/>
        </w:rPr>
        <w:t xml:space="preserve"> on every </w:t>
      </w:r>
      <w:r>
        <w:rPr>
          <w:szCs w:val="24"/>
        </w:rPr>
        <w:t xml:space="preserve">field trial </w:t>
      </w:r>
      <w:r w:rsidR="00C833C5" w:rsidRPr="00343268">
        <w:rPr>
          <w:szCs w:val="24"/>
        </w:rPr>
        <w:t>application submitted in Finland</w:t>
      </w:r>
      <w:r>
        <w:rPr>
          <w:szCs w:val="24"/>
        </w:rPr>
        <w:t xml:space="preserve"> </w:t>
      </w:r>
      <w:r w:rsidRPr="00F172FD">
        <w:rPr>
          <w:szCs w:val="24"/>
        </w:rPr>
        <w:t>with the exception of certain specific cases defined by law</w:t>
      </w:r>
      <w:r>
        <w:rPr>
          <w:szCs w:val="24"/>
        </w:rPr>
        <w:t xml:space="preserve">. </w:t>
      </w:r>
      <w:r w:rsidR="00462CD5" w:rsidRPr="00462CD5">
        <w:rPr>
          <w:szCs w:val="24"/>
        </w:rPr>
        <w:t xml:space="preserve">The public </w:t>
      </w:r>
      <w:proofErr w:type="gramStart"/>
      <w:r w:rsidR="00462CD5" w:rsidRPr="00462CD5">
        <w:rPr>
          <w:szCs w:val="24"/>
        </w:rPr>
        <w:t>is informed</w:t>
      </w:r>
      <w:proofErr w:type="gramEnd"/>
      <w:r w:rsidR="00462CD5" w:rsidRPr="00462CD5">
        <w:rPr>
          <w:szCs w:val="24"/>
        </w:rPr>
        <w:t xml:space="preserve"> of the arrival of the field trial application on the website of the Board for Gene </w:t>
      </w:r>
      <w:r w:rsidR="00462CD5">
        <w:rPr>
          <w:szCs w:val="24"/>
        </w:rPr>
        <w:t>T</w:t>
      </w:r>
      <w:r w:rsidR="00462CD5" w:rsidRPr="00462CD5">
        <w:rPr>
          <w:szCs w:val="24"/>
        </w:rPr>
        <w:t>echnology, and the application documents (excluding confidential information) are published there</w:t>
      </w:r>
      <w:r w:rsidR="00462CD5">
        <w:rPr>
          <w:szCs w:val="24"/>
        </w:rPr>
        <w:t xml:space="preserve">. </w:t>
      </w:r>
      <w:r w:rsidR="00462CD5" w:rsidRPr="00462CD5">
        <w:rPr>
          <w:szCs w:val="24"/>
        </w:rPr>
        <w:t xml:space="preserve">The summary of the application </w:t>
      </w:r>
      <w:proofErr w:type="gramStart"/>
      <w:r w:rsidR="00462CD5" w:rsidRPr="00462CD5">
        <w:rPr>
          <w:szCs w:val="24"/>
        </w:rPr>
        <w:t>will also be published</w:t>
      </w:r>
      <w:proofErr w:type="gramEnd"/>
      <w:r w:rsidR="00462CD5" w:rsidRPr="00462CD5">
        <w:rPr>
          <w:szCs w:val="24"/>
        </w:rPr>
        <w:t xml:space="preserve"> on the European Commission's website.</w:t>
      </w:r>
    </w:p>
    <w:p w:rsidR="00C833C5" w:rsidRPr="00343268" w:rsidRDefault="00C833C5" w:rsidP="00F94DA5">
      <w:pPr>
        <w:spacing w:line="276" w:lineRule="auto"/>
        <w:rPr>
          <w:szCs w:val="24"/>
        </w:rPr>
      </w:pPr>
    </w:p>
    <w:p w:rsidR="00C833C5" w:rsidRPr="00343268" w:rsidRDefault="00462CD5" w:rsidP="00F94DA5">
      <w:pPr>
        <w:spacing w:line="276" w:lineRule="auto"/>
        <w:rPr>
          <w:szCs w:val="24"/>
        </w:rPr>
      </w:pPr>
      <w:r>
        <w:rPr>
          <w:szCs w:val="24"/>
        </w:rPr>
        <w:t xml:space="preserve">An </w:t>
      </w:r>
      <w:r w:rsidR="00C833C5" w:rsidRPr="00343268">
        <w:rPr>
          <w:szCs w:val="24"/>
        </w:rPr>
        <w:t>application concer</w:t>
      </w:r>
      <w:r w:rsidR="00446CFA">
        <w:rPr>
          <w:szCs w:val="24"/>
        </w:rPr>
        <w:t>ning genetically modified micro</w:t>
      </w:r>
      <w:r w:rsidR="00C833C5" w:rsidRPr="00343268">
        <w:rPr>
          <w:szCs w:val="24"/>
        </w:rPr>
        <w:t>organisms must contain the following documents:</w:t>
      </w:r>
    </w:p>
    <w:p w:rsidR="00C833C5" w:rsidRPr="00343268" w:rsidRDefault="00C833C5" w:rsidP="00F94DA5">
      <w:pPr>
        <w:spacing w:line="276" w:lineRule="auto"/>
        <w:rPr>
          <w:szCs w:val="24"/>
        </w:rPr>
      </w:pPr>
    </w:p>
    <w:p w:rsidR="00C833C5" w:rsidRPr="00343268" w:rsidRDefault="00C833C5" w:rsidP="00472903">
      <w:pPr>
        <w:numPr>
          <w:ilvl w:val="0"/>
          <w:numId w:val="1"/>
        </w:numPr>
        <w:spacing w:line="276" w:lineRule="auto"/>
        <w:rPr>
          <w:szCs w:val="24"/>
        </w:rPr>
      </w:pPr>
      <w:r w:rsidRPr="00343268">
        <w:rPr>
          <w:szCs w:val="24"/>
        </w:rPr>
        <w:t xml:space="preserve">a technical document </w:t>
      </w:r>
      <w:r w:rsidR="00D31286">
        <w:rPr>
          <w:szCs w:val="24"/>
        </w:rPr>
        <w:t xml:space="preserve">i.e. the application form available at the website, </w:t>
      </w:r>
      <w:r w:rsidRPr="00343268">
        <w:rPr>
          <w:szCs w:val="24"/>
        </w:rPr>
        <w:t xml:space="preserve">written in </w:t>
      </w:r>
      <w:r w:rsidRPr="00D31286">
        <w:rPr>
          <w:szCs w:val="24"/>
        </w:rPr>
        <w:t>Finnish or Swedish</w:t>
      </w:r>
      <w:r w:rsidRPr="00343268">
        <w:rPr>
          <w:szCs w:val="24"/>
        </w:rPr>
        <w:t xml:space="preserve"> </w:t>
      </w:r>
      <w:r w:rsidR="00D31286">
        <w:rPr>
          <w:szCs w:val="24"/>
        </w:rPr>
        <w:t xml:space="preserve">and </w:t>
      </w:r>
      <w:r w:rsidRPr="00343268">
        <w:rPr>
          <w:szCs w:val="24"/>
        </w:rPr>
        <w:t xml:space="preserve">containing the information required under chapter 3 </w:t>
      </w:r>
      <w:r w:rsidR="00D31286">
        <w:rPr>
          <w:szCs w:val="24"/>
        </w:rPr>
        <w:t xml:space="preserve">sections 6-12 </w:t>
      </w:r>
      <w:r w:rsidR="00472903">
        <w:rPr>
          <w:szCs w:val="24"/>
        </w:rPr>
        <w:t>of t</w:t>
      </w:r>
      <w:r w:rsidR="00472903" w:rsidRPr="00472903">
        <w:rPr>
          <w:szCs w:val="24"/>
        </w:rPr>
        <w:t>he Decree</w:t>
      </w:r>
      <w:r w:rsidR="00143FE4">
        <w:rPr>
          <w:szCs w:val="24"/>
        </w:rPr>
        <w:t xml:space="preserve"> </w:t>
      </w:r>
      <w:r w:rsidR="00143FE4" w:rsidRPr="00472903">
        <w:rPr>
          <w:szCs w:val="24"/>
        </w:rPr>
        <w:t>(1105/2019</w:t>
      </w:r>
      <w:r w:rsidR="00143FE4">
        <w:rPr>
          <w:szCs w:val="24"/>
        </w:rPr>
        <w:t xml:space="preserve">) </w:t>
      </w:r>
      <w:r w:rsidR="00472903" w:rsidRPr="00472903">
        <w:rPr>
          <w:szCs w:val="24"/>
        </w:rPr>
        <w:t>of the Ministry of Social Affairs and Health on the Deliberate Release of Genetically Modified Organisms</w:t>
      </w:r>
      <w:r w:rsidRPr="00343268">
        <w:rPr>
          <w:szCs w:val="24"/>
        </w:rPr>
        <w:t>;</w:t>
      </w:r>
    </w:p>
    <w:p w:rsidR="00C833C5" w:rsidRPr="00343268" w:rsidRDefault="00C833C5" w:rsidP="00F94DA5">
      <w:pPr>
        <w:numPr>
          <w:ilvl w:val="0"/>
          <w:numId w:val="1"/>
        </w:numPr>
        <w:spacing w:line="276" w:lineRule="auto"/>
        <w:rPr>
          <w:szCs w:val="24"/>
        </w:rPr>
      </w:pPr>
      <w:r w:rsidRPr="00343268">
        <w:rPr>
          <w:szCs w:val="24"/>
        </w:rPr>
        <w:t xml:space="preserve">a risk assessment document written in </w:t>
      </w:r>
      <w:r w:rsidRPr="00085497">
        <w:rPr>
          <w:szCs w:val="24"/>
        </w:rPr>
        <w:t>Finnish or Swedish</w:t>
      </w:r>
      <w:r w:rsidRPr="00343268">
        <w:rPr>
          <w:szCs w:val="24"/>
        </w:rPr>
        <w:t xml:space="preserve"> that</w:t>
      </w:r>
      <w:r w:rsidR="00085497">
        <w:rPr>
          <w:szCs w:val="24"/>
        </w:rPr>
        <w:t xml:space="preserve"> meets</w:t>
      </w:r>
      <w:r w:rsidRPr="00343268">
        <w:rPr>
          <w:szCs w:val="24"/>
        </w:rPr>
        <w:t xml:space="preserve"> the </w:t>
      </w:r>
      <w:r w:rsidR="00085497">
        <w:rPr>
          <w:szCs w:val="24"/>
        </w:rPr>
        <w:t>requirements laid down in chapter 7 of the Decree</w:t>
      </w:r>
      <w:r w:rsidRPr="00343268">
        <w:rPr>
          <w:szCs w:val="24"/>
        </w:rPr>
        <w:t>;</w:t>
      </w:r>
    </w:p>
    <w:p w:rsidR="00C833C5" w:rsidRPr="00343268" w:rsidRDefault="00C833C5" w:rsidP="00F94DA5">
      <w:pPr>
        <w:numPr>
          <w:ilvl w:val="0"/>
          <w:numId w:val="1"/>
        </w:numPr>
        <w:spacing w:line="276" w:lineRule="auto"/>
        <w:rPr>
          <w:szCs w:val="24"/>
        </w:rPr>
      </w:pPr>
      <w:proofErr w:type="gramStart"/>
      <w:r w:rsidRPr="00343268">
        <w:rPr>
          <w:szCs w:val="24"/>
        </w:rPr>
        <w:t>a</w:t>
      </w:r>
      <w:r w:rsidR="00143CBB">
        <w:rPr>
          <w:szCs w:val="24"/>
        </w:rPr>
        <w:t>n</w:t>
      </w:r>
      <w:proofErr w:type="gramEnd"/>
      <w:r w:rsidR="00143CBB">
        <w:rPr>
          <w:szCs w:val="24"/>
        </w:rPr>
        <w:t xml:space="preserve"> English</w:t>
      </w:r>
      <w:r w:rsidRPr="00343268">
        <w:rPr>
          <w:szCs w:val="24"/>
        </w:rPr>
        <w:t xml:space="preserve"> summary of the application </w:t>
      </w:r>
      <w:r w:rsidR="00085497">
        <w:rPr>
          <w:szCs w:val="24"/>
        </w:rPr>
        <w:t xml:space="preserve">(B-SNIF) that the operator submits through </w:t>
      </w:r>
      <w:r w:rsidR="00143CBB">
        <w:rPr>
          <w:szCs w:val="24"/>
        </w:rPr>
        <w:t xml:space="preserve">the electronic submission platform ESFC. More info on this procedure </w:t>
      </w:r>
      <w:proofErr w:type="gramStart"/>
      <w:r w:rsidR="00B545D1">
        <w:rPr>
          <w:szCs w:val="24"/>
        </w:rPr>
        <w:t>is provided</w:t>
      </w:r>
      <w:proofErr w:type="gramEnd"/>
      <w:r w:rsidR="00B545D1">
        <w:rPr>
          <w:szCs w:val="24"/>
        </w:rPr>
        <w:t xml:space="preserve"> in the</w:t>
      </w:r>
      <w:r w:rsidR="00143CBB">
        <w:rPr>
          <w:szCs w:val="24"/>
        </w:rPr>
        <w:t xml:space="preserve"> </w:t>
      </w:r>
      <w:hyperlink r:id="rId7" w:history="1">
        <w:r w:rsidR="00143CBB" w:rsidRPr="00AD1271">
          <w:rPr>
            <w:rStyle w:val="Hyperlinkki"/>
            <w:szCs w:val="24"/>
          </w:rPr>
          <w:t>Co</w:t>
        </w:r>
        <w:r w:rsidR="00462CD5" w:rsidRPr="00AD1271">
          <w:rPr>
            <w:rStyle w:val="Hyperlinkki"/>
            <w:szCs w:val="24"/>
          </w:rPr>
          <w:t>m</w:t>
        </w:r>
        <w:r w:rsidR="00AD1271" w:rsidRPr="00AD1271">
          <w:rPr>
            <w:rStyle w:val="Hyperlinkki"/>
            <w:szCs w:val="24"/>
          </w:rPr>
          <w:t>mission website</w:t>
        </w:r>
      </w:hyperlink>
      <w:r w:rsidR="00462CD5">
        <w:rPr>
          <w:szCs w:val="24"/>
        </w:rPr>
        <w:t xml:space="preserve"> </w:t>
      </w:r>
      <w:r w:rsidR="00143CBB">
        <w:rPr>
          <w:szCs w:val="24"/>
        </w:rPr>
        <w:t>and</w:t>
      </w:r>
      <w:r w:rsidR="00AD1271">
        <w:rPr>
          <w:szCs w:val="24"/>
        </w:rPr>
        <w:t xml:space="preserve"> the </w:t>
      </w:r>
      <w:hyperlink r:id="rId8" w:history="1">
        <w:r w:rsidR="00AD1271" w:rsidRPr="00AD1271">
          <w:rPr>
            <w:rStyle w:val="Hyperlinkki"/>
            <w:szCs w:val="24"/>
          </w:rPr>
          <w:t>ESFC Guidance</w:t>
        </w:r>
      </w:hyperlink>
      <w:r w:rsidR="00462CD5" w:rsidRPr="00AD1271">
        <w:rPr>
          <w:szCs w:val="24"/>
        </w:rPr>
        <w:t>.</w:t>
      </w:r>
    </w:p>
    <w:p w:rsidR="00C833C5" w:rsidRPr="00343268" w:rsidRDefault="00C833C5" w:rsidP="00F94DA5">
      <w:pPr>
        <w:spacing w:line="276" w:lineRule="auto"/>
        <w:rPr>
          <w:szCs w:val="24"/>
        </w:rPr>
      </w:pPr>
    </w:p>
    <w:p w:rsidR="00C833C5" w:rsidRPr="00343268" w:rsidRDefault="00C833C5" w:rsidP="00F94DA5">
      <w:pPr>
        <w:spacing w:line="276" w:lineRule="auto"/>
        <w:rPr>
          <w:szCs w:val="24"/>
        </w:rPr>
      </w:pPr>
      <w:r w:rsidRPr="00343268">
        <w:rPr>
          <w:szCs w:val="24"/>
        </w:rPr>
        <w:t>It</w:t>
      </w:r>
      <w:r w:rsidR="00143CBB">
        <w:rPr>
          <w:szCs w:val="24"/>
        </w:rPr>
        <w:t xml:space="preserve"> is essential that the operator</w:t>
      </w:r>
      <w:r w:rsidRPr="00343268">
        <w:rPr>
          <w:szCs w:val="24"/>
        </w:rPr>
        <w:t xml:space="preserve"> </w:t>
      </w:r>
      <w:r w:rsidR="00143CBB">
        <w:rPr>
          <w:szCs w:val="24"/>
        </w:rPr>
        <w:t xml:space="preserve">clearly </w:t>
      </w:r>
      <w:proofErr w:type="gramStart"/>
      <w:r w:rsidR="00462CD5">
        <w:rPr>
          <w:szCs w:val="24"/>
        </w:rPr>
        <w:t>indicates</w:t>
      </w:r>
      <w:proofErr w:type="gramEnd"/>
      <w:r w:rsidR="00462CD5">
        <w:rPr>
          <w:szCs w:val="24"/>
        </w:rPr>
        <w:t xml:space="preserve"> </w:t>
      </w:r>
      <w:r w:rsidRPr="00343268">
        <w:rPr>
          <w:szCs w:val="24"/>
        </w:rPr>
        <w:t xml:space="preserve">which information </w:t>
      </w:r>
      <w:r w:rsidR="00991EBB" w:rsidRPr="00343268">
        <w:rPr>
          <w:szCs w:val="24"/>
        </w:rPr>
        <w:t>in the application they would like</w:t>
      </w:r>
      <w:r w:rsidRPr="00343268">
        <w:rPr>
          <w:szCs w:val="24"/>
        </w:rPr>
        <w:t xml:space="preserve"> to keep confidential, as laid down in section</w:t>
      </w:r>
      <w:r w:rsidR="00462CD5">
        <w:rPr>
          <w:szCs w:val="24"/>
        </w:rPr>
        <w:t>s</w:t>
      </w:r>
      <w:r w:rsidRPr="00343268">
        <w:rPr>
          <w:szCs w:val="24"/>
        </w:rPr>
        <w:t xml:space="preserve"> 32</w:t>
      </w:r>
      <w:r w:rsidR="00143CBB">
        <w:rPr>
          <w:szCs w:val="24"/>
        </w:rPr>
        <w:t xml:space="preserve"> and 32a</w:t>
      </w:r>
      <w:r w:rsidRPr="00343268">
        <w:rPr>
          <w:szCs w:val="24"/>
        </w:rPr>
        <w:t xml:space="preserve"> of the Gene Technology Act. </w:t>
      </w:r>
      <w:r w:rsidR="00343268" w:rsidRPr="00343268">
        <w:rPr>
          <w:szCs w:val="24"/>
        </w:rPr>
        <w:t>Please note</w:t>
      </w:r>
      <w:r w:rsidRPr="00343268">
        <w:rPr>
          <w:szCs w:val="24"/>
        </w:rPr>
        <w:t xml:space="preserve"> that </w:t>
      </w:r>
      <w:r w:rsidR="00143CBB">
        <w:rPr>
          <w:szCs w:val="24"/>
        </w:rPr>
        <w:t xml:space="preserve">the Act specifically lists </w:t>
      </w:r>
      <w:r w:rsidRPr="00343268">
        <w:rPr>
          <w:szCs w:val="24"/>
        </w:rPr>
        <w:t xml:space="preserve">information that </w:t>
      </w:r>
      <w:proofErr w:type="gramStart"/>
      <w:r w:rsidRPr="00143CBB">
        <w:rPr>
          <w:szCs w:val="24"/>
        </w:rPr>
        <w:t>cannot</w:t>
      </w:r>
      <w:r w:rsidRPr="00343268">
        <w:rPr>
          <w:szCs w:val="24"/>
        </w:rPr>
        <w:t xml:space="preserve"> be considered</w:t>
      </w:r>
      <w:proofErr w:type="gramEnd"/>
      <w:r w:rsidRPr="00343268">
        <w:rPr>
          <w:szCs w:val="24"/>
        </w:rPr>
        <w:t xml:space="preserve"> confidential. </w:t>
      </w:r>
      <w:r w:rsidR="00462CD5">
        <w:rPr>
          <w:szCs w:val="24"/>
        </w:rPr>
        <w:t>A</w:t>
      </w:r>
      <w:r w:rsidR="00462CD5" w:rsidRPr="00143CBB">
        <w:rPr>
          <w:szCs w:val="24"/>
        </w:rPr>
        <w:t xml:space="preserve">ll the confidential information </w:t>
      </w:r>
      <w:proofErr w:type="gramStart"/>
      <w:r w:rsidR="00462CD5">
        <w:rPr>
          <w:szCs w:val="24"/>
        </w:rPr>
        <w:t>should be provided</w:t>
      </w:r>
      <w:proofErr w:type="gramEnd"/>
      <w:r w:rsidR="00462CD5">
        <w:rPr>
          <w:szCs w:val="24"/>
        </w:rPr>
        <w:t xml:space="preserve"> </w:t>
      </w:r>
      <w:r w:rsidRPr="00143CBB">
        <w:rPr>
          <w:szCs w:val="24"/>
        </w:rPr>
        <w:t>in a separate annex</w:t>
      </w:r>
      <w:r w:rsidR="00462CD5">
        <w:rPr>
          <w:szCs w:val="24"/>
        </w:rPr>
        <w:t>,</w:t>
      </w:r>
      <w:r w:rsidRPr="00143CBB">
        <w:rPr>
          <w:szCs w:val="24"/>
        </w:rPr>
        <w:t xml:space="preserve"> so that the rest of the application can be made publicly accessible.</w:t>
      </w:r>
    </w:p>
    <w:p w:rsidR="00C833C5" w:rsidRPr="00343268" w:rsidRDefault="00C833C5" w:rsidP="00F94DA5">
      <w:pPr>
        <w:spacing w:line="276" w:lineRule="auto"/>
        <w:rPr>
          <w:szCs w:val="24"/>
        </w:rPr>
      </w:pPr>
    </w:p>
    <w:p w:rsidR="00C833C5" w:rsidRPr="00343268" w:rsidRDefault="00C833C5" w:rsidP="00F94DA5">
      <w:pPr>
        <w:spacing w:line="276" w:lineRule="auto"/>
        <w:rPr>
          <w:szCs w:val="24"/>
        </w:rPr>
      </w:pPr>
      <w:r w:rsidRPr="00343268">
        <w:rPr>
          <w:szCs w:val="24"/>
        </w:rPr>
        <w:t xml:space="preserve">The field trial </w:t>
      </w:r>
      <w:proofErr w:type="gramStart"/>
      <w:r w:rsidRPr="00343268">
        <w:rPr>
          <w:szCs w:val="24"/>
        </w:rPr>
        <w:t>may be started</w:t>
      </w:r>
      <w:proofErr w:type="gramEnd"/>
      <w:r w:rsidRPr="00343268">
        <w:rPr>
          <w:szCs w:val="24"/>
        </w:rPr>
        <w:t xml:space="preserve"> </w:t>
      </w:r>
      <w:r w:rsidR="00143CBB">
        <w:rPr>
          <w:szCs w:val="24"/>
        </w:rPr>
        <w:t xml:space="preserve">only </w:t>
      </w:r>
      <w:r w:rsidRPr="00343268">
        <w:rPr>
          <w:szCs w:val="24"/>
        </w:rPr>
        <w:t xml:space="preserve">after GTLK has issued a </w:t>
      </w:r>
      <w:r w:rsidRPr="00143CBB">
        <w:rPr>
          <w:szCs w:val="24"/>
        </w:rPr>
        <w:t>written permit</w:t>
      </w:r>
      <w:r w:rsidRPr="00343268">
        <w:rPr>
          <w:szCs w:val="24"/>
        </w:rPr>
        <w:t xml:space="preserve"> for </w:t>
      </w:r>
      <w:r w:rsidR="00143CBB">
        <w:rPr>
          <w:szCs w:val="24"/>
        </w:rPr>
        <w:t>it</w:t>
      </w:r>
      <w:r w:rsidRPr="00343268">
        <w:rPr>
          <w:szCs w:val="24"/>
        </w:rPr>
        <w:t xml:space="preserve">. </w:t>
      </w:r>
      <w:r w:rsidR="00143CBB">
        <w:rPr>
          <w:szCs w:val="24"/>
        </w:rPr>
        <w:t>Every trial is subj</w:t>
      </w:r>
      <w:r w:rsidR="00462CD5">
        <w:rPr>
          <w:szCs w:val="24"/>
        </w:rPr>
        <w:t xml:space="preserve">ect to mandatory reporting and </w:t>
      </w:r>
      <w:r w:rsidR="00143CBB">
        <w:rPr>
          <w:szCs w:val="24"/>
        </w:rPr>
        <w:t>possible</w:t>
      </w:r>
      <w:r w:rsidR="00AC1412">
        <w:rPr>
          <w:szCs w:val="24"/>
        </w:rPr>
        <w:t xml:space="preserve"> post-monitoring </w:t>
      </w:r>
      <w:r w:rsidR="00462CD5">
        <w:rPr>
          <w:szCs w:val="24"/>
        </w:rPr>
        <w:t>requirements</w:t>
      </w:r>
      <w:r w:rsidR="00B545D1">
        <w:rPr>
          <w:szCs w:val="24"/>
        </w:rPr>
        <w:t>,</w:t>
      </w:r>
      <w:r w:rsidR="00462CD5">
        <w:rPr>
          <w:szCs w:val="24"/>
        </w:rPr>
        <w:t xml:space="preserve"> </w:t>
      </w:r>
      <w:r w:rsidR="00AC1412">
        <w:rPr>
          <w:szCs w:val="24"/>
        </w:rPr>
        <w:t xml:space="preserve">which </w:t>
      </w:r>
      <w:proofErr w:type="gramStart"/>
      <w:r w:rsidR="00AC1412">
        <w:rPr>
          <w:szCs w:val="24"/>
        </w:rPr>
        <w:t>are defined</w:t>
      </w:r>
      <w:proofErr w:type="gramEnd"/>
      <w:r w:rsidR="00AC1412">
        <w:rPr>
          <w:szCs w:val="24"/>
        </w:rPr>
        <w:t xml:space="preserve"> in the terms and conditions of the permit.</w:t>
      </w:r>
    </w:p>
    <w:p w:rsidR="00C833C5" w:rsidRPr="00343268" w:rsidRDefault="00C833C5" w:rsidP="00F94DA5">
      <w:pPr>
        <w:spacing w:line="276" w:lineRule="auto"/>
        <w:rPr>
          <w:szCs w:val="24"/>
        </w:rPr>
      </w:pPr>
    </w:p>
    <w:p w:rsidR="00C833C5" w:rsidRDefault="00451546" w:rsidP="00F94DA5">
      <w:pPr>
        <w:spacing w:line="276" w:lineRule="auto"/>
        <w:rPr>
          <w:rStyle w:val="Hyperlinkki"/>
          <w:color w:val="auto"/>
          <w:szCs w:val="24"/>
          <w:u w:val="none"/>
        </w:rPr>
      </w:pPr>
      <w:r>
        <w:rPr>
          <w:szCs w:val="24"/>
        </w:rPr>
        <w:t>All above-mentioned statutes are available</w:t>
      </w:r>
      <w:r w:rsidR="00C833C5" w:rsidRPr="00AC1412">
        <w:rPr>
          <w:szCs w:val="24"/>
        </w:rPr>
        <w:t xml:space="preserve"> in the section</w:t>
      </w:r>
      <w:r w:rsidR="00343268" w:rsidRPr="00AC1412">
        <w:rPr>
          <w:szCs w:val="24"/>
        </w:rPr>
        <w:t xml:space="preserve"> </w:t>
      </w:r>
      <w:r w:rsidR="00C833C5" w:rsidRPr="00AC1412">
        <w:rPr>
          <w:szCs w:val="24"/>
          <w:cs/>
        </w:rPr>
        <w:t>“</w:t>
      </w:r>
      <w:r w:rsidR="00C833C5" w:rsidRPr="00AC1412">
        <w:rPr>
          <w:szCs w:val="24"/>
        </w:rPr>
        <w:t>Legislation</w:t>
      </w:r>
      <w:r w:rsidR="00C833C5" w:rsidRPr="00AC1412">
        <w:rPr>
          <w:szCs w:val="24"/>
          <w:cs/>
        </w:rPr>
        <w:t xml:space="preserve">” </w:t>
      </w:r>
      <w:r w:rsidR="00C833C5" w:rsidRPr="00AC1412">
        <w:rPr>
          <w:szCs w:val="24"/>
        </w:rPr>
        <w:t>of the GTLK website:</w:t>
      </w:r>
      <w:r w:rsidR="00343268" w:rsidRPr="00AC1412">
        <w:rPr>
          <w:szCs w:val="24"/>
        </w:rPr>
        <w:t xml:space="preserve"> </w:t>
      </w:r>
      <w:hyperlink r:id="rId9" w:history="1">
        <w:r w:rsidR="00AC1412" w:rsidRPr="004B1627">
          <w:rPr>
            <w:rStyle w:val="Hyperlinkki"/>
            <w:szCs w:val="24"/>
          </w:rPr>
          <w:t>https://geenitekniikanlautakunta.fi/en/legislation</w:t>
        </w:r>
      </w:hyperlink>
      <w:r w:rsidRPr="00451546">
        <w:rPr>
          <w:rStyle w:val="Hyperlinkki"/>
          <w:color w:val="auto"/>
          <w:szCs w:val="24"/>
          <w:u w:val="none"/>
        </w:rPr>
        <w:t>.</w:t>
      </w:r>
    </w:p>
    <w:p w:rsidR="001510C5" w:rsidRDefault="001510C5" w:rsidP="00F94DA5">
      <w:pPr>
        <w:spacing w:line="276" w:lineRule="auto"/>
        <w:rPr>
          <w:rStyle w:val="Hyperlinkki"/>
          <w:color w:val="auto"/>
          <w:szCs w:val="24"/>
          <w:u w:val="none"/>
        </w:rPr>
      </w:pPr>
    </w:p>
    <w:p w:rsidR="001510C5" w:rsidRPr="00451546" w:rsidRDefault="001510C5" w:rsidP="00F94DA5">
      <w:pPr>
        <w:spacing w:line="276" w:lineRule="auto"/>
        <w:rPr>
          <w:szCs w:val="24"/>
        </w:rPr>
      </w:pPr>
      <w:r w:rsidRPr="001510C5">
        <w:rPr>
          <w:szCs w:val="24"/>
        </w:rPr>
        <w:t>Guidance on the authorisation procedures for ATMP products containing GMOs (</w:t>
      </w:r>
      <w:hyperlink r:id="rId10" w:history="1">
        <w:r w:rsidRPr="002323C1">
          <w:rPr>
            <w:rStyle w:val="Hyperlinkki"/>
            <w:szCs w:val="24"/>
          </w:rPr>
          <w:t>https://health.ec.europa.eu/medicinal-products/advanced-therapies_en</w:t>
        </w:r>
      </w:hyperlink>
      <w:r w:rsidRPr="001510C5">
        <w:rPr>
          <w:szCs w:val="24"/>
        </w:rPr>
        <w:t>) and summaries of all field trial applications in the European Union are also available on the Commission's website. (</w:t>
      </w:r>
      <w:hyperlink r:id="rId11" w:history="1">
        <w:r w:rsidR="002323C1" w:rsidRPr="005E57A8">
          <w:rPr>
            <w:rStyle w:val="Hyperlinkki"/>
            <w:szCs w:val="24"/>
          </w:rPr>
          <w:t>https://webgate.ec.europa.eu/fip/GMO_Registers/</w:t>
        </w:r>
      </w:hyperlink>
      <w:r w:rsidR="002323C1">
        <w:rPr>
          <w:szCs w:val="24"/>
        </w:rPr>
        <w:t>).</w:t>
      </w:r>
    </w:p>
    <w:p w:rsidR="00C833C5" w:rsidRPr="00343268" w:rsidRDefault="00C833C5" w:rsidP="00F94DA5">
      <w:pPr>
        <w:spacing w:line="276" w:lineRule="auto"/>
        <w:rPr>
          <w:i/>
          <w:szCs w:val="24"/>
        </w:rPr>
      </w:pPr>
    </w:p>
    <w:p w:rsidR="00C833C5" w:rsidRPr="00AC1412" w:rsidRDefault="00C833C5" w:rsidP="00F94DA5">
      <w:pPr>
        <w:spacing w:line="276" w:lineRule="auto"/>
        <w:rPr>
          <w:szCs w:val="24"/>
        </w:rPr>
      </w:pPr>
      <w:r w:rsidRPr="00AC1412">
        <w:rPr>
          <w:szCs w:val="24"/>
        </w:rPr>
        <w:t xml:space="preserve">For more information, contact the Board secretariat: </w:t>
      </w:r>
      <w:hyperlink r:id="rId12" w:history="1">
        <w:r w:rsidR="00AC1412" w:rsidRPr="00AC1412">
          <w:rPr>
            <w:rStyle w:val="Hyperlinkki"/>
            <w:szCs w:val="24"/>
          </w:rPr>
          <w:t>gtlk@gov.fi</w:t>
        </w:r>
      </w:hyperlink>
    </w:p>
    <w:sectPr w:rsidR="00C833C5" w:rsidRPr="00AC1412">
      <w:headerReference w:type="even" r:id="rId13"/>
      <w:headerReference w:type="default" r:id="rId14"/>
      <w:footerReference w:type="even" r:id="rId15"/>
      <w:footerReference w:type="default" r:id="rId16"/>
      <w:headerReference w:type="first" r:id="rId17"/>
      <w:footerReference w:type="first" r:id="rId18"/>
      <w:pgSz w:w="11906" w:h="16838" w:code="9"/>
      <w:pgMar w:top="567" w:right="851" w:bottom="567" w:left="1134" w:header="510"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7E3" w:rsidRDefault="000F17E3" w:rsidP="00C833C5">
      <w:r>
        <w:separator/>
      </w:r>
    </w:p>
  </w:endnote>
  <w:endnote w:type="continuationSeparator" w:id="0">
    <w:p w:rsidR="000F17E3" w:rsidRDefault="000F17E3" w:rsidP="00C8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FB" w:rsidRDefault="00C861F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FB" w:rsidRDefault="00C861F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FB" w:rsidRDefault="00C861F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7E3" w:rsidRDefault="000F17E3" w:rsidP="00C833C5">
      <w:r>
        <w:separator/>
      </w:r>
    </w:p>
  </w:footnote>
  <w:footnote w:type="continuationSeparator" w:id="0">
    <w:p w:rsidR="000F17E3" w:rsidRDefault="000F17E3" w:rsidP="00C833C5">
      <w:r>
        <w:continuationSeparator/>
      </w:r>
    </w:p>
  </w:footnote>
  <w:footnote w:id="1">
    <w:p w:rsidR="00C833C5" w:rsidRDefault="00C833C5">
      <w:pPr>
        <w:pStyle w:val="Alaviitteenteksti"/>
      </w:pPr>
      <w:r>
        <w:rPr>
          <w:rStyle w:val="Alaviitteenviite"/>
        </w:rPr>
        <w:footnoteRef/>
      </w:r>
      <w:r>
        <w:t xml:space="preserve"> </w:t>
      </w:r>
      <w:proofErr w:type="gramStart"/>
      <w:r w:rsidRPr="00966841">
        <w:rPr>
          <w:sz w:val="20"/>
        </w:rPr>
        <w:t>Under the Gene Technology Act (377/1995),</w:t>
      </w:r>
      <w:r w:rsidR="00343268" w:rsidRPr="00966841">
        <w:rPr>
          <w:sz w:val="20"/>
        </w:rPr>
        <w:t xml:space="preserve"> </w:t>
      </w:r>
      <w:r w:rsidRPr="00966841">
        <w:rPr>
          <w:sz w:val="20"/>
        </w:rPr>
        <w:t>contained use means any activity in which organisms are genetically modified or in which genetically modified organisms are cultured, stored, transported, destroyed or disposed of or used in any other way and for which specific containment measures are used to limit their contact with the general population and the</w:t>
      </w:r>
      <w:r>
        <w:t xml:space="preserve"> </w:t>
      </w:r>
      <w:r w:rsidRPr="00966841">
        <w:rPr>
          <w:sz w:val="20"/>
        </w:rPr>
        <w:t>environment and to provide a high level of safety for the general population and the environment.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FB" w:rsidRDefault="00C861F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FB" w:rsidRDefault="00C861F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FB" w:rsidRDefault="00C861F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A7279"/>
    <w:multiLevelType w:val="hybridMultilevel"/>
    <w:tmpl w:val="9C6A046A"/>
    <w:lvl w:ilvl="0" w:tplc="0E0AD7AE">
      <w:start w:val="1"/>
      <w:numFmt w:val="bullet"/>
      <w:lvlText w:val="•"/>
      <w:lvlJc w:val="left"/>
      <w:pPr>
        <w:tabs>
          <w:tab w:val="num" w:pos="720"/>
        </w:tabs>
        <w:ind w:left="720" w:hanging="360"/>
      </w:pPr>
      <w:rPr>
        <w:rFonts w:ascii="Times New Roman" w:hAnsi="Times New Roman" w:hint="default"/>
      </w:rPr>
    </w:lvl>
    <w:lvl w:ilvl="1" w:tplc="AF4EC674" w:tentative="1">
      <w:start w:val="1"/>
      <w:numFmt w:val="lowerLetter"/>
      <w:lvlText w:val="%2."/>
      <w:lvlJc w:val="left"/>
      <w:pPr>
        <w:tabs>
          <w:tab w:val="num" w:pos="1440"/>
        </w:tabs>
        <w:ind w:left="1440" w:hanging="360"/>
      </w:pPr>
    </w:lvl>
    <w:lvl w:ilvl="2" w:tplc="EA16E45C" w:tentative="1">
      <w:start w:val="1"/>
      <w:numFmt w:val="lowerRoman"/>
      <w:lvlText w:val="%3."/>
      <w:lvlJc w:val="right"/>
      <w:pPr>
        <w:tabs>
          <w:tab w:val="num" w:pos="2160"/>
        </w:tabs>
        <w:ind w:left="2160" w:hanging="180"/>
      </w:pPr>
    </w:lvl>
    <w:lvl w:ilvl="3" w:tplc="4E6E38B2" w:tentative="1">
      <w:start w:val="1"/>
      <w:numFmt w:val="decimal"/>
      <w:lvlText w:val="%4."/>
      <w:lvlJc w:val="left"/>
      <w:pPr>
        <w:tabs>
          <w:tab w:val="num" w:pos="2880"/>
        </w:tabs>
        <w:ind w:left="2880" w:hanging="360"/>
      </w:pPr>
    </w:lvl>
    <w:lvl w:ilvl="4" w:tplc="93D0052E" w:tentative="1">
      <w:start w:val="1"/>
      <w:numFmt w:val="lowerLetter"/>
      <w:lvlText w:val="%5."/>
      <w:lvlJc w:val="left"/>
      <w:pPr>
        <w:tabs>
          <w:tab w:val="num" w:pos="3600"/>
        </w:tabs>
        <w:ind w:left="3600" w:hanging="360"/>
      </w:pPr>
    </w:lvl>
    <w:lvl w:ilvl="5" w:tplc="10C822EE" w:tentative="1">
      <w:start w:val="1"/>
      <w:numFmt w:val="lowerRoman"/>
      <w:lvlText w:val="%6."/>
      <w:lvlJc w:val="right"/>
      <w:pPr>
        <w:tabs>
          <w:tab w:val="num" w:pos="4320"/>
        </w:tabs>
        <w:ind w:left="4320" w:hanging="180"/>
      </w:pPr>
    </w:lvl>
    <w:lvl w:ilvl="6" w:tplc="4ED6E1FC" w:tentative="1">
      <w:start w:val="1"/>
      <w:numFmt w:val="decimal"/>
      <w:lvlText w:val="%7."/>
      <w:lvlJc w:val="left"/>
      <w:pPr>
        <w:tabs>
          <w:tab w:val="num" w:pos="5040"/>
        </w:tabs>
        <w:ind w:left="5040" w:hanging="360"/>
      </w:pPr>
    </w:lvl>
    <w:lvl w:ilvl="7" w:tplc="045803FC" w:tentative="1">
      <w:start w:val="1"/>
      <w:numFmt w:val="lowerLetter"/>
      <w:lvlText w:val="%8."/>
      <w:lvlJc w:val="left"/>
      <w:pPr>
        <w:tabs>
          <w:tab w:val="num" w:pos="5760"/>
        </w:tabs>
        <w:ind w:left="5760" w:hanging="360"/>
      </w:pPr>
    </w:lvl>
    <w:lvl w:ilvl="8" w:tplc="50A41006" w:tentative="1">
      <w:start w:val="1"/>
      <w:numFmt w:val="lowerRoman"/>
      <w:lvlText w:val="%9."/>
      <w:lvlJc w:val="right"/>
      <w:pPr>
        <w:tabs>
          <w:tab w:val="num" w:pos="6480"/>
        </w:tabs>
        <w:ind w:left="6480" w:hanging="180"/>
      </w:pPr>
    </w:lvl>
  </w:abstractNum>
  <w:abstractNum w:abstractNumId="1" w15:restartNumberingAfterBreak="0">
    <w:nsid w:val="3C5F39D9"/>
    <w:multiLevelType w:val="hybridMultilevel"/>
    <w:tmpl w:val="9C6A046A"/>
    <w:lvl w:ilvl="0" w:tplc="F83CAC22">
      <w:start w:val="1"/>
      <w:numFmt w:val="decimal"/>
      <w:lvlText w:val="%1)"/>
      <w:lvlJc w:val="left"/>
      <w:pPr>
        <w:tabs>
          <w:tab w:val="num" w:pos="720"/>
        </w:tabs>
        <w:ind w:left="720" w:hanging="360"/>
      </w:pPr>
      <w:rPr>
        <w:rFonts w:hint="default"/>
      </w:rPr>
    </w:lvl>
    <w:lvl w:ilvl="1" w:tplc="3134F3B0">
      <w:start w:val="1"/>
      <w:numFmt w:val="bullet"/>
      <w:lvlText w:val="•"/>
      <w:lvlJc w:val="left"/>
      <w:pPr>
        <w:tabs>
          <w:tab w:val="num" w:pos="1440"/>
        </w:tabs>
        <w:ind w:left="1440" w:hanging="360"/>
      </w:pPr>
      <w:rPr>
        <w:rFonts w:ascii="Times New Roman" w:hAnsi="Times New Roman" w:hint="default"/>
      </w:rPr>
    </w:lvl>
    <w:lvl w:ilvl="2" w:tplc="27CAFD14" w:tentative="1">
      <w:start w:val="1"/>
      <w:numFmt w:val="lowerRoman"/>
      <w:lvlText w:val="%3."/>
      <w:lvlJc w:val="right"/>
      <w:pPr>
        <w:tabs>
          <w:tab w:val="num" w:pos="2160"/>
        </w:tabs>
        <w:ind w:left="2160" w:hanging="180"/>
      </w:pPr>
    </w:lvl>
    <w:lvl w:ilvl="3" w:tplc="987E844E" w:tentative="1">
      <w:start w:val="1"/>
      <w:numFmt w:val="decimal"/>
      <w:lvlText w:val="%4."/>
      <w:lvlJc w:val="left"/>
      <w:pPr>
        <w:tabs>
          <w:tab w:val="num" w:pos="2880"/>
        </w:tabs>
        <w:ind w:left="2880" w:hanging="360"/>
      </w:pPr>
    </w:lvl>
    <w:lvl w:ilvl="4" w:tplc="2AF460BC" w:tentative="1">
      <w:start w:val="1"/>
      <w:numFmt w:val="lowerLetter"/>
      <w:lvlText w:val="%5."/>
      <w:lvlJc w:val="left"/>
      <w:pPr>
        <w:tabs>
          <w:tab w:val="num" w:pos="3600"/>
        </w:tabs>
        <w:ind w:left="3600" w:hanging="360"/>
      </w:pPr>
    </w:lvl>
    <w:lvl w:ilvl="5" w:tplc="745098BC" w:tentative="1">
      <w:start w:val="1"/>
      <w:numFmt w:val="lowerRoman"/>
      <w:lvlText w:val="%6."/>
      <w:lvlJc w:val="right"/>
      <w:pPr>
        <w:tabs>
          <w:tab w:val="num" w:pos="4320"/>
        </w:tabs>
        <w:ind w:left="4320" w:hanging="180"/>
      </w:pPr>
    </w:lvl>
    <w:lvl w:ilvl="6" w:tplc="CAA0F20E" w:tentative="1">
      <w:start w:val="1"/>
      <w:numFmt w:val="decimal"/>
      <w:lvlText w:val="%7."/>
      <w:lvlJc w:val="left"/>
      <w:pPr>
        <w:tabs>
          <w:tab w:val="num" w:pos="5040"/>
        </w:tabs>
        <w:ind w:left="5040" w:hanging="360"/>
      </w:pPr>
    </w:lvl>
    <w:lvl w:ilvl="7" w:tplc="AD422842" w:tentative="1">
      <w:start w:val="1"/>
      <w:numFmt w:val="lowerLetter"/>
      <w:lvlText w:val="%8."/>
      <w:lvlJc w:val="left"/>
      <w:pPr>
        <w:tabs>
          <w:tab w:val="num" w:pos="5760"/>
        </w:tabs>
        <w:ind w:left="5760" w:hanging="360"/>
      </w:pPr>
    </w:lvl>
    <w:lvl w:ilvl="8" w:tplc="D62CDFC4" w:tentative="1">
      <w:start w:val="1"/>
      <w:numFmt w:val="lowerRoman"/>
      <w:lvlText w:val="%9."/>
      <w:lvlJc w:val="right"/>
      <w:pPr>
        <w:tabs>
          <w:tab w:val="num" w:pos="6480"/>
        </w:tabs>
        <w:ind w:left="6480" w:hanging="180"/>
      </w:pPr>
    </w:lvl>
  </w:abstractNum>
  <w:abstractNum w:abstractNumId="2" w15:restartNumberingAfterBreak="0">
    <w:nsid w:val="61054D05"/>
    <w:multiLevelType w:val="hybridMultilevel"/>
    <w:tmpl w:val="FD486476"/>
    <w:lvl w:ilvl="0" w:tplc="12D61C86">
      <w:start w:val="1"/>
      <w:numFmt w:val="decimal"/>
      <w:lvlText w:val="%1)"/>
      <w:lvlJc w:val="left"/>
      <w:pPr>
        <w:tabs>
          <w:tab w:val="num" w:pos="720"/>
        </w:tabs>
        <w:ind w:left="720" w:hanging="360"/>
      </w:pPr>
      <w:rPr>
        <w:rFonts w:hint="default"/>
      </w:rPr>
    </w:lvl>
    <w:lvl w:ilvl="1" w:tplc="8998F436" w:tentative="1">
      <w:start w:val="1"/>
      <w:numFmt w:val="lowerLetter"/>
      <w:lvlText w:val="%2."/>
      <w:lvlJc w:val="left"/>
      <w:pPr>
        <w:tabs>
          <w:tab w:val="num" w:pos="1440"/>
        </w:tabs>
        <w:ind w:left="1440" w:hanging="360"/>
      </w:pPr>
    </w:lvl>
    <w:lvl w:ilvl="2" w:tplc="4B62429A" w:tentative="1">
      <w:start w:val="1"/>
      <w:numFmt w:val="lowerRoman"/>
      <w:lvlText w:val="%3."/>
      <w:lvlJc w:val="right"/>
      <w:pPr>
        <w:tabs>
          <w:tab w:val="num" w:pos="2160"/>
        </w:tabs>
        <w:ind w:left="2160" w:hanging="180"/>
      </w:pPr>
    </w:lvl>
    <w:lvl w:ilvl="3" w:tplc="5C689276" w:tentative="1">
      <w:start w:val="1"/>
      <w:numFmt w:val="decimal"/>
      <w:lvlText w:val="%4."/>
      <w:lvlJc w:val="left"/>
      <w:pPr>
        <w:tabs>
          <w:tab w:val="num" w:pos="2880"/>
        </w:tabs>
        <w:ind w:left="2880" w:hanging="360"/>
      </w:pPr>
    </w:lvl>
    <w:lvl w:ilvl="4" w:tplc="3F46D902" w:tentative="1">
      <w:start w:val="1"/>
      <w:numFmt w:val="lowerLetter"/>
      <w:lvlText w:val="%5."/>
      <w:lvlJc w:val="left"/>
      <w:pPr>
        <w:tabs>
          <w:tab w:val="num" w:pos="3600"/>
        </w:tabs>
        <w:ind w:left="3600" w:hanging="360"/>
      </w:pPr>
    </w:lvl>
    <w:lvl w:ilvl="5" w:tplc="C9DCAA32" w:tentative="1">
      <w:start w:val="1"/>
      <w:numFmt w:val="lowerRoman"/>
      <w:lvlText w:val="%6."/>
      <w:lvlJc w:val="right"/>
      <w:pPr>
        <w:tabs>
          <w:tab w:val="num" w:pos="4320"/>
        </w:tabs>
        <w:ind w:left="4320" w:hanging="180"/>
      </w:pPr>
    </w:lvl>
    <w:lvl w:ilvl="6" w:tplc="BD9A4D3A" w:tentative="1">
      <w:start w:val="1"/>
      <w:numFmt w:val="decimal"/>
      <w:lvlText w:val="%7."/>
      <w:lvlJc w:val="left"/>
      <w:pPr>
        <w:tabs>
          <w:tab w:val="num" w:pos="5040"/>
        </w:tabs>
        <w:ind w:left="5040" w:hanging="360"/>
      </w:pPr>
    </w:lvl>
    <w:lvl w:ilvl="7" w:tplc="11BA6F7C" w:tentative="1">
      <w:start w:val="1"/>
      <w:numFmt w:val="lowerLetter"/>
      <w:lvlText w:val="%8."/>
      <w:lvlJc w:val="left"/>
      <w:pPr>
        <w:tabs>
          <w:tab w:val="num" w:pos="5760"/>
        </w:tabs>
        <w:ind w:left="5760" w:hanging="360"/>
      </w:pPr>
    </w:lvl>
    <w:lvl w:ilvl="8" w:tplc="43DA5B3E"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29"/>
    <w:rsid w:val="0004494D"/>
    <w:rsid w:val="00063E15"/>
    <w:rsid w:val="0007069D"/>
    <w:rsid w:val="000810A1"/>
    <w:rsid w:val="00085497"/>
    <w:rsid w:val="000A05C1"/>
    <w:rsid w:val="000F17E3"/>
    <w:rsid w:val="000F5487"/>
    <w:rsid w:val="001020F1"/>
    <w:rsid w:val="00143CBB"/>
    <w:rsid w:val="00143FE4"/>
    <w:rsid w:val="001510C5"/>
    <w:rsid w:val="00184F65"/>
    <w:rsid w:val="001B025D"/>
    <w:rsid w:val="001D3068"/>
    <w:rsid w:val="00216597"/>
    <w:rsid w:val="002215E9"/>
    <w:rsid w:val="002323C1"/>
    <w:rsid w:val="00274B7D"/>
    <w:rsid w:val="002A3C23"/>
    <w:rsid w:val="002A4DE7"/>
    <w:rsid w:val="00343268"/>
    <w:rsid w:val="003755CD"/>
    <w:rsid w:val="00376E86"/>
    <w:rsid w:val="003C786C"/>
    <w:rsid w:val="003D211A"/>
    <w:rsid w:val="003F50B7"/>
    <w:rsid w:val="00446CFA"/>
    <w:rsid w:val="00451546"/>
    <w:rsid w:val="00462CD5"/>
    <w:rsid w:val="00472903"/>
    <w:rsid w:val="004748E8"/>
    <w:rsid w:val="004817E1"/>
    <w:rsid w:val="004943B8"/>
    <w:rsid w:val="004C2635"/>
    <w:rsid w:val="0051778A"/>
    <w:rsid w:val="005302E9"/>
    <w:rsid w:val="00534BA8"/>
    <w:rsid w:val="00542C49"/>
    <w:rsid w:val="00564853"/>
    <w:rsid w:val="00746160"/>
    <w:rsid w:val="007D7E7B"/>
    <w:rsid w:val="007F4245"/>
    <w:rsid w:val="00841C37"/>
    <w:rsid w:val="008553D1"/>
    <w:rsid w:val="0092716D"/>
    <w:rsid w:val="00966841"/>
    <w:rsid w:val="00982127"/>
    <w:rsid w:val="00991EBB"/>
    <w:rsid w:val="009E1221"/>
    <w:rsid w:val="009F4F0B"/>
    <w:rsid w:val="00A31DE0"/>
    <w:rsid w:val="00A8015A"/>
    <w:rsid w:val="00AA11E7"/>
    <w:rsid w:val="00AA546D"/>
    <w:rsid w:val="00AB558F"/>
    <w:rsid w:val="00AC1412"/>
    <w:rsid w:val="00AD1271"/>
    <w:rsid w:val="00AF23AB"/>
    <w:rsid w:val="00B2419E"/>
    <w:rsid w:val="00B44A14"/>
    <w:rsid w:val="00B545D1"/>
    <w:rsid w:val="00B70802"/>
    <w:rsid w:val="00BD4357"/>
    <w:rsid w:val="00BE16C0"/>
    <w:rsid w:val="00C66CB1"/>
    <w:rsid w:val="00C80BBA"/>
    <w:rsid w:val="00C833C5"/>
    <w:rsid w:val="00C861FB"/>
    <w:rsid w:val="00CB7C36"/>
    <w:rsid w:val="00CF38AC"/>
    <w:rsid w:val="00D31286"/>
    <w:rsid w:val="00D72F65"/>
    <w:rsid w:val="00DA1B51"/>
    <w:rsid w:val="00E97CEA"/>
    <w:rsid w:val="00EA6D23"/>
    <w:rsid w:val="00EC35AD"/>
    <w:rsid w:val="00F172FD"/>
    <w:rsid w:val="00F27E73"/>
    <w:rsid w:val="00F36E8E"/>
    <w:rsid w:val="00F56929"/>
    <w:rsid w:val="00F64F5F"/>
    <w:rsid w:val="00F90812"/>
    <w:rsid w:val="00F94D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198B0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64853"/>
    <w:pPr>
      <w:spacing w:line="360" w:lineRule="auto"/>
    </w:pPr>
    <w:rPr>
      <w:rFonts w:ascii="Arial" w:hAnsi="Arial"/>
      <w:sz w:val="24"/>
      <w:lang w:val="en-GB" w:eastAsia="en-GB"/>
    </w:rPr>
  </w:style>
  <w:style w:type="paragraph" w:styleId="Otsikko1">
    <w:name w:val="heading 1"/>
    <w:basedOn w:val="Normaali"/>
    <w:next w:val="Normaali"/>
    <w:qFormat/>
    <w:rsid w:val="00564853"/>
    <w:pPr>
      <w:keepNext/>
      <w:spacing w:before="120" w:after="120" w:line="240" w:lineRule="auto"/>
      <w:outlineLvl w:val="0"/>
    </w:pPr>
    <w:rPr>
      <w:b/>
      <w:bCs/>
    </w:rPr>
  </w:style>
  <w:style w:type="paragraph" w:styleId="Otsikko2">
    <w:name w:val="heading 2"/>
    <w:basedOn w:val="Normaali"/>
    <w:next w:val="Normaali"/>
    <w:link w:val="Otsikko2Char"/>
    <w:uiPriority w:val="9"/>
    <w:unhideWhenUsed/>
    <w:qFormat/>
    <w:rsid w:val="002215E9"/>
    <w:pPr>
      <w:keepNext/>
      <w:spacing w:before="240" w:after="60"/>
      <w:outlineLvl w:val="1"/>
    </w:pPr>
    <w:rPr>
      <w:rFonts w:eastAsiaTheme="majorEastAsia" w:cstheme="majorBidi"/>
      <w:b/>
      <w:bCs/>
      <w:iCs/>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semiHidden/>
    <w:rPr>
      <w:color w:val="0000FF"/>
      <w:u w:val="single"/>
      <w:lang w:val="en-GB" w:eastAsia="en-GB"/>
    </w:rPr>
  </w:style>
  <w:style w:type="paragraph" w:styleId="Luettelokappale">
    <w:name w:val="List Paragraph"/>
    <w:basedOn w:val="Normaali"/>
    <w:uiPriority w:val="34"/>
    <w:qFormat/>
    <w:rsid w:val="00C5423E"/>
    <w:pPr>
      <w:ind w:left="1304"/>
    </w:pPr>
  </w:style>
  <w:style w:type="character" w:styleId="Kommentinviite">
    <w:name w:val="annotation reference"/>
    <w:uiPriority w:val="99"/>
    <w:semiHidden/>
    <w:unhideWhenUsed/>
    <w:rsid w:val="003B1DAF"/>
    <w:rPr>
      <w:sz w:val="16"/>
      <w:szCs w:val="16"/>
      <w:lang w:val="en-GB" w:eastAsia="en-GB"/>
    </w:rPr>
  </w:style>
  <w:style w:type="paragraph" w:styleId="Kommentinteksti">
    <w:name w:val="annotation text"/>
    <w:basedOn w:val="Normaali"/>
    <w:link w:val="KommentintekstiChar"/>
    <w:uiPriority w:val="99"/>
    <w:semiHidden/>
    <w:unhideWhenUsed/>
    <w:rsid w:val="003B1DAF"/>
  </w:style>
  <w:style w:type="character" w:customStyle="1" w:styleId="KommentintekstiChar">
    <w:name w:val="Kommentin teksti Char"/>
    <w:basedOn w:val="Kappaleenoletusfontti"/>
    <w:link w:val="Kommentinteksti"/>
    <w:uiPriority w:val="99"/>
    <w:semiHidden/>
    <w:rsid w:val="003B1DAF"/>
  </w:style>
  <w:style w:type="paragraph" w:styleId="Kommentinotsikko">
    <w:name w:val="annotation subject"/>
    <w:basedOn w:val="Kommentinteksti"/>
    <w:next w:val="Kommentinteksti"/>
    <w:link w:val="KommentinotsikkoChar"/>
    <w:uiPriority w:val="99"/>
    <w:semiHidden/>
    <w:unhideWhenUsed/>
    <w:rsid w:val="003B1DAF"/>
    <w:rPr>
      <w:b/>
      <w:bCs/>
    </w:rPr>
  </w:style>
  <w:style w:type="character" w:customStyle="1" w:styleId="KommentinotsikkoChar">
    <w:name w:val="Kommentin otsikko Char"/>
    <w:link w:val="Kommentinotsikko"/>
    <w:uiPriority w:val="99"/>
    <w:semiHidden/>
    <w:rsid w:val="003B1DAF"/>
    <w:rPr>
      <w:b/>
      <w:bCs/>
      <w:lang w:val="en-GB" w:eastAsia="en-GB"/>
    </w:rPr>
  </w:style>
  <w:style w:type="paragraph" w:styleId="Seliteteksti">
    <w:name w:val="Balloon Text"/>
    <w:basedOn w:val="Normaali"/>
    <w:link w:val="SelitetekstiChar"/>
    <w:uiPriority w:val="99"/>
    <w:semiHidden/>
    <w:unhideWhenUsed/>
    <w:rsid w:val="003B1DAF"/>
    <w:rPr>
      <w:rFonts w:ascii="Tahoma" w:hAnsi="Tahoma"/>
      <w:sz w:val="16"/>
      <w:szCs w:val="16"/>
    </w:rPr>
  </w:style>
  <w:style w:type="character" w:customStyle="1" w:styleId="SelitetekstiChar">
    <w:name w:val="Seliteteksti Char"/>
    <w:link w:val="Seliteteksti"/>
    <w:uiPriority w:val="99"/>
    <w:semiHidden/>
    <w:rsid w:val="003B1DAF"/>
    <w:rPr>
      <w:rFonts w:ascii="Tahoma" w:hAnsi="Tahoma" w:cs="Tahoma"/>
      <w:sz w:val="16"/>
      <w:szCs w:val="16"/>
      <w:lang w:val="en-GB" w:eastAsia="en-GB"/>
    </w:rPr>
  </w:style>
  <w:style w:type="paragraph" w:styleId="Alaviitteenteksti">
    <w:name w:val="footnote text"/>
    <w:basedOn w:val="Normaali"/>
    <w:link w:val="AlaviitteentekstiChar"/>
    <w:uiPriority w:val="99"/>
    <w:semiHidden/>
    <w:unhideWhenUsed/>
    <w:rsid w:val="00F770E0"/>
  </w:style>
  <w:style w:type="character" w:customStyle="1" w:styleId="AlaviitteentekstiChar">
    <w:name w:val="Alaviitteen teksti Char"/>
    <w:basedOn w:val="Kappaleenoletusfontti"/>
    <w:link w:val="Alaviitteenteksti"/>
    <w:uiPriority w:val="99"/>
    <w:semiHidden/>
    <w:rsid w:val="00F770E0"/>
  </w:style>
  <w:style w:type="character" w:styleId="Alaviitteenviite">
    <w:name w:val="footnote reference"/>
    <w:uiPriority w:val="99"/>
    <w:semiHidden/>
    <w:unhideWhenUsed/>
    <w:rsid w:val="00F770E0"/>
    <w:rPr>
      <w:vertAlign w:val="superscript"/>
      <w:lang w:val="en-GB" w:eastAsia="en-GB"/>
    </w:rPr>
  </w:style>
  <w:style w:type="paragraph" w:styleId="Yltunniste">
    <w:name w:val="header"/>
    <w:basedOn w:val="Normaali"/>
    <w:link w:val="YltunnisteChar"/>
    <w:uiPriority w:val="99"/>
    <w:unhideWhenUsed/>
    <w:rsid w:val="00157651"/>
    <w:pPr>
      <w:tabs>
        <w:tab w:val="center" w:pos="4819"/>
        <w:tab w:val="right" w:pos="9638"/>
      </w:tabs>
    </w:pPr>
  </w:style>
  <w:style w:type="character" w:customStyle="1" w:styleId="YltunnisteChar">
    <w:name w:val="Ylätunniste Char"/>
    <w:basedOn w:val="Kappaleenoletusfontti"/>
    <w:link w:val="Yltunniste"/>
    <w:uiPriority w:val="99"/>
    <w:rsid w:val="00157651"/>
  </w:style>
  <w:style w:type="paragraph" w:styleId="Alatunniste">
    <w:name w:val="footer"/>
    <w:basedOn w:val="Normaali"/>
    <w:link w:val="AlatunnisteChar"/>
    <w:uiPriority w:val="99"/>
    <w:unhideWhenUsed/>
    <w:rsid w:val="00157651"/>
    <w:pPr>
      <w:tabs>
        <w:tab w:val="center" w:pos="4819"/>
        <w:tab w:val="right" w:pos="9638"/>
      </w:tabs>
    </w:pPr>
  </w:style>
  <w:style w:type="character" w:customStyle="1" w:styleId="AlatunnisteChar">
    <w:name w:val="Alatunniste Char"/>
    <w:basedOn w:val="Kappaleenoletusfontti"/>
    <w:link w:val="Alatunniste"/>
    <w:uiPriority w:val="99"/>
    <w:rsid w:val="00157651"/>
  </w:style>
  <w:style w:type="character" w:customStyle="1" w:styleId="Otsikko2Char">
    <w:name w:val="Otsikko 2 Char"/>
    <w:basedOn w:val="Kappaleenoletusfontti"/>
    <w:link w:val="Otsikko2"/>
    <w:uiPriority w:val="9"/>
    <w:rsid w:val="002215E9"/>
    <w:rPr>
      <w:rFonts w:ascii="Arial" w:eastAsiaTheme="majorEastAsia" w:hAnsi="Arial" w:cstheme="majorBidi"/>
      <w:b/>
      <w:bCs/>
      <w:iCs/>
      <w:sz w:val="24"/>
      <w:szCs w:val="28"/>
      <w:lang w:val="en-GB" w:eastAsia="en-GB"/>
    </w:rPr>
  </w:style>
  <w:style w:type="paragraph" w:styleId="Muutos">
    <w:name w:val="Revision"/>
    <w:hidden/>
    <w:uiPriority w:val="99"/>
    <w:semiHidden/>
    <w:rsid w:val="00C66CB1"/>
    <w:rPr>
      <w:rFonts w:ascii="Arial" w:hAnsi="Arial"/>
      <w:sz w:val="24"/>
      <w:lang w:val="en-GB" w:eastAsia="en-GB"/>
    </w:rPr>
  </w:style>
  <w:style w:type="character" w:styleId="AvattuHyperlinkki">
    <w:name w:val="FollowedHyperlink"/>
    <w:basedOn w:val="Kappaleenoletusfontti"/>
    <w:uiPriority w:val="99"/>
    <w:semiHidden/>
    <w:unhideWhenUsed/>
    <w:rsid w:val="00232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od.ec.europa.eu/document/download/1b376bc9-cd46-4bd8-b906-da0ffc20dca3_en?filename=gfl_train_supp_esfc_e-sub_user-guid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od.ec.europa.eu/horizontal-topics/general-food-law/training-and-support_en" TargetMode="External"/><Relationship Id="rId12" Type="http://schemas.openxmlformats.org/officeDocument/2006/relationships/hyperlink" Target="mailto:gtlk@gov.f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gate.ec.europa.eu/fip/GMO_Regist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ealth.ec.europa.eu/medicinal-products/advanced-therapies_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eenitekniikanlautakunta.fi/en/legislation" TargetMode="External"/><Relationship Id="rId14"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1696</Words>
  <Characters>9823</Characters>
  <Application>Microsoft Office Word</Application>
  <DocSecurity>0</DocSecurity>
  <Lines>81</Lines>
  <Paragraphs>22</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11497</CharactersWithSpaces>
  <SharedDoc>false</SharedDoc>
  <HLinks>
    <vt:vector size="24" baseType="variant">
      <vt:variant>
        <vt:i4>4194355</vt:i4>
      </vt:variant>
      <vt:variant>
        <vt:i4>9</vt:i4>
      </vt:variant>
      <vt:variant>
        <vt:i4>0</vt:i4>
      </vt:variant>
      <vt:variant>
        <vt:i4>5</vt:i4>
      </vt:variant>
      <vt:variant>
        <vt:lpwstr>mailto:gtlk.stm@stm.fi</vt:lpwstr>
      </vt:variant>
      <vt:variant>
        <vt:lpwstr/>
      </vt:variant>
      <vt:variant>
        <vt:i4>3932219</vt:i4>
      </vt:variant>
      <vt:variant>
        <vt:i4>6</vt:i4>
      </vt:variant>
      <vt:variant>
        <vt:i4>0</vt:i4>
      </vt:variant>
      <vt:variant>
        <vt:i4>5</vt:i4>
      </vt:variant>
      <vt:variant>
        <vt:lpwstr>http://geenitekniikanlautakunta.fi/en/frontpage</vt:lpwstr>
      </vt:variant>
      <vt:variant>
        <vt:lpwstr/>
      </vt:variant>
      <vt:variant>
        <vt:i4>7143533</vt:i4>
      </vt:variant>
      <vt:variant>
        <vt:i4>2</vt:i4>
      </vt:variant>
      <vt:variant>
        <vt:i4>0</vt:i4>
      </vt:variant>
      <vt:variant>
        <vt:i4>5</vt:i4>
      </vt:variant>
      <vt:variant>
        <vt:lpwstr>http://gmoinfo.jrc.it/</vt:lpwstr>
      </vt:variant>
      <vt:variant>
        <vt:lpwstr/>
      </vt:variant>
      <vt:variant>
        <vt:i4>7143533</vt:i4>
      </vt:variant>
      <vt:variant>
        <vt:i4>0</vt:i4>
      </vt:variant>
      <vt:variant>
        <vt:i4>0</vt:i4>
      </vt:variant>
      <vt:variant>
        <vt:i4>5</vt:i4>
      </vt:variant>
      <vt:variant>
        <vt:lpwstr>http://gmoinfo.jrc.it/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2024-03-26T07:40:00Z</dcterms:created>
  <dcterms:modified xsi:type="dcterms:W3CDTF">2024-03-27T10:47:00Z</dcterms:modified>
</cp:coreProperties>
</file>